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E0" w:rsidRDefault="00DD43F2" w:rsidP="00C17CD8">
      <w:pPr>
        <w:pStyle w:val="Heading6"/>
        <w:rPr>
          <w:rFonts w:ascii="Arial" w:hAnsi="Arial"/>
        </w:rPr>
      </w:pPr>
      <w:r>
        <w:rPr>
          <w:noProof/>
        </w:rPr>
        <mc:AlternateContent>
          <mc:Choice Requires="wps">
            <w:drawing>
              <wp:anchor distT="0" distB="0" distL="114300" distR="114300" simplePos="0" relativeHeight="251657728" behindDoc="0" locked="0" layoutInCell="1" allowOverlap="1" wp14:anchorId="03296D9F" wp14:editId="675F0D0E">
                <wp:simplePos x="0" y="0"/>
                <wp:positionH relativeFrom="column">
                  <wp:posOffset>3449320</wp:posOffset>
                </wp:positionH>
                <wp:positionV relativeFrom="paragraph">
                  <wp:posOffset>-337185</wp:posOffset>
                </wp:positionV>
                <wp:extent cx="2281555" cy="387985"/>
                <wp:effectExtent l="0" t="0" r="2349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387985"/>
                        </a:xfrm>
                        <a:prstGeom prst="rect">
                          <a:avLst/>
                        </a:prstGeom>
                        <a:solidFill>
                          <a:srgbClr val="FFFFFF"/>
                        </a:solidFill>
                        <a:ln w="9525">
                          <a:solidFill>
                            <a:srgbClr val="000000"/>
                          </a:solidFill>
                          <a:miter lim="800000"/>
                          <a:headEnd/>
                          <a:tailEnd/>
                        </a:ln>
                      </wps:spPr>
                      <wps:txbx>
                        <w:txbxContent>
                          <w:p w:rsidR="00BB156A" w:rsidRPr="00592F54" w:rsidRDefault="00BB156A" w:rsidP="00F37C68">
                            <w:pPr>
                              <w:ind w:left="1440"/>
                              <w:rPr>
                                <w:sz w:val="28"/>
                                <w:szCs w:val="28"/>
                              </w:rPr>
                            </w:pPr>
                            <w:r w:rsidRPr="00592F54">
                              <w:rPr>
                                <w:b/>
                                <w:sz w:val="28"/>
                                <w:szCs w:val="28"/>
                              </w:rPr>
                              <w:t>Appendix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296D9F" id="_x0000_t202" coordsize="21600,21600" o:spt="202" path="m,l,21600r21600,l21600,xe">
                <v:stroke joinstyle="miter"/>
                <v:path gradientshapeok="t" o:connecttype="rect"/>
              </v:shapetype>
              <v:shape id="Text Box 2" o:spid="_x0000_s1026" type="#_x0000_t202" style="position:absolute;margin-left:271.6pt;margin-top:-26.55pt;width:179.65pt;height:3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nnKgIAAFAEAAAOAAAAZHJzL2Uyb0RvYy54bWysVNtu2zAMfR+wfxD0vjjx4jUx4hRdugwD&#10;ugvQ7gNkWY6FSaImKbG7rx8lu1l2exnmB4EUqUPykPTmetCKnITzEkxFF7M5JcJwaKQ5VPTzw/7F&#10;ihIfmGmYAiMq+ig8vd4+f7bpbSly6EA1whEEMb7sbUW7EGyZZZ53QjM/AysMGltwmgVU3SFrHOsR&#10;Xassn89fZT24xjrgwnu8vR2NdJvw21bw8LFtvQhEVRRzC+l06azjmW03rDw4ZjvJpzTYP2ShmTQY&#10;9Ax1ywIjRyd/g9KSO/DQhhkHnUHbSi5SDVjNYv5LNfcdsyLVguR4e6bJ/z9Y/uH0yRHZVHRJiWEa&#10;W/QghkBew0DyyE5vfYlO9xbdwoDX2OVUqbd3wL94YmDXMXMQN85B3wnWYHaL+DK7eDri+AhS9++h&#10;wTDsGCABDa3TkTokgyA6dunx3JmYCsfLPF8tiqKghKPt5epqvSpSCFY+vbbOh7cCNIlCRR12PqGz&#10;050PMRtWPrnEYB6UbPZSqaS4Q71TjpwYTsk+fRP6T27KkL6i6yIvRgL+CjFP358gtAw47krqiq7O&#10;TqyMtL0xTRrGwKQaZUxZmYnHSN1IYhjqYepLDc0jMupgHGtcQxQ6cN8o6XGkK+q/HpkTlKh3Bruy&#10;XiyXcQeSsiyuclTcpaW+tDDDEaqigZJR3IVxb47WyUOHkcY5MHCDnWxlIjm2fMxqyhvHNnE/rVjc&#10;i0s9ef34EWy/AwAA//8DAFBLAwQUAAYACAAAACEA/icCA98AAAAJAQAADwAAAGRycy9kb3ducmV2&#10;LnhtbEyPTU/DMAxA70j8h8hIXNCWrF3HVppOCAkENxgIrlnjtRX5KEnWlX+POcHR8tPzc7WdrGEj&#10;hth7J2ExF8DQNV73rpXw9no/WwOLSTmtjHco4RsjbOvzs0qV2p/cC4671DKSuFgqCV1KQ8l5bDq0&#10;Ks79gI52Bx+sSjSGluugTiS3hmdCrLhVvaMLnRrwrsPmc3e0EtbLx/EjPuXP783qYDbp6np8+ApS&#10;Xl5MtzfAEk7pD4bffEqHmpr2/uh0ZEZCscwzQiXMinwBjIiNyApge9IL4HXF/39Q/wAAAP//AwBQ&#10;SwECLQAUAAYACAAAACEAtoM4kv4AAADhAQAAEwAAAAAAAAAAAAAAAAAAAAAAW0NvbnRlbnRfVHlw&#10;ZXNdLnhtbFBLAQItABQABgAIAAAAIQA4/SH/1gAAAJQBAAALAAAAAAAAAAAAAAAAAC8BAABfcmVs&#10;cy8ucmVsc1BLAQItABQABgAIAAAAIQCwuZnnKgIAAFAEAAAOAAAAAAAAAAAAAAAAAC4CAABkcnMv&#10;ZTJvRG9jLnhtbFBLAQItABQABgAIAAAAIQD+JwID3wAAAAkBAAAPAAAAAAAAAAAAAAAAAIQEAABk&#10;cnMvZG93bnJldi54bWxQSwUGAAAAAAQABADzAAAAkAUAAAAA&#10;">
                <v:textbox>
                  <w:txbxContent>
                    <w:p w:rsidR="00BB156A" w:rsidRPr="00592F54" w:rsidRDefault="00BB156A" w:rsidP="00F37C68">
                      <w:pPr>
                        <w:ind w:left="1440"/>
                        <w:rPr>
                          <w:sz w:val="28"/>
                          <w:szCs w:val="28"/>
                        </w:rPr>
                      </w:pPr>
                      <w:r w:rsidRPr="00592F54">
                        <w:rPr>
                          <w:b/>
                          <w:sz w:val="28"/>
                          <w:szCs w:val="28"/>
                        </w:rPr>
                        <w:t>Appendix A</w:t>
                      </w:r>
                    </w:p>
                  </w:txbxContent>
                </v:textbox>
              </v:shape>
            </w:pict>
          </mc:Fallback>
        </mc:AlternateContent>
      </w:r>
    </w:p>
    <w:p w:rsidR="00AB2052" w:rsidRPr="00D76BC1" w:rsidRDefault="00D76BC1" w:rsidP="00F37C68">
      <w:pPr>
        <w:rPr>
          <w:b/>
          <w:sz w:val="28"/>
          <w:szCs w:val="28"/>
        </w:rPr>
      </w:pPr>
      <w:r w:rsidRPr="00D76BC1">
        <w:rPr>
          <w:b/>
          <w:sz w:val="28"/>
          <w:szCs w:val="28"/>
        </w:rPr>
        <w:t>T</w:t>
      </w:r>
      <w:r w:rsidR="00F96523">
        <w:rPr>
          <w:b/>
          <w:sz w:val="28"/>
          <w:szCs w:val="28"/>
        </w:rPr>
        <w:t xml:space="preserve">reasury </w:t>
      </w:r>
      <w:r w:rsidRPr="00D76BC1">
        <w:rPr>
          <w:b/>
          <w:sz w:val="28"/>
          <w:szCs w:val="28"/>
        </w:rPr>
        <w:t>M</w:t>
      </w:r>
      <w:r w:rsidR="00F96523">
        <w:rPr>
          <w:b/>
          <w:sz w:val="28"/>
          <w:szCs w:val="28"/>
        </w:rPr>
        <w:t>anagement</w:t>
      </w:r>
      <w:r w:rsidRPr="00D76BC1">
        <w:rPr>
          <w:b/>
          <w:sz w:val="28"/>
          <w:szCs w:val="28"/>
        </w:rPr>
        <w:t xml:space="preserve"> Activity </w:t>
      </w:r>
      <w:r w:rsidR="00650C2F">
        <w:rPr>
          <w:b/>
          <w:sz w:val="28"/>
          <w:szCs w:val="28"/>
        </w:rPr>
        <w:t>3rd</w:t>
      </w:r>
      <w:r w:rsidR="007828C9">
        <w:rPr>
          <w:b/>
          <w:sz w:val="28"/>
          <w:szCs w:val="28"/>
        </w:rPr>
        <w:t xml:space="preserve"> Quarter</w:t>
      </w:r>
      <w:r w:rsidR="00AE2AD0">
        <w:rPr>
          <w:b/>
          <w:sz w:val="28"/>
          <w:szCs w:val="28"/>
        </w:rPr>
        <w:t xml:space="preserve"> </w:t>
      </w:r>
      <w:r w:rsidRPr="00D76BC1">
        <w:rPr>
          <w:b/>
          <w:sz w:val="28"/>
          <w:szCs w:val="28"/>
        </w:rPr>
        <w:t xml:space="preserve">Report </w:t>
      </w:r>
      <w:r w:rsidR="00AD3E3C">
        <w:rPr>
          <w:b/>
          <w:sz w:val="28"/>
          <w:szCs w:val="28"/>
        </w:rPr>
        <w:t>2014-15</w:t>
      </w:r>
    </w:p>
    <w:p w:rsidR="000D2521" w:rsidRDefault="000D2521" w:rsidP="00257EF6">
      <w:pPr>
        <w:pStyle w:val="ListParagraph"/>
        <w:ind w:left="0"/>
        <w:rPr>
          <w:b/>
          <w:szCs w:val="24"/>
        </w:rPr>
      </w:pPr>
    </w:p>
    <w:p w:rsidR="00BE75C4" w:rsidRDefault="00BE75C4" w:rsidP="006B2962">
      <w:pPr>
        <w:pStyle w:val="ListParagraph"/>
        <w:numPr>
          <w:ilvl w:val="0"/>
          <w:numId w:val="13"/>
        </w:numPr>
        <w:rPr>
          <w:b/>
          <w:szCs w:val="24"/>
        </w:rPr>
      </w:pPr>
      <w:r>
        <w:rPr>
          <w:b/>
          <w:szCs w:val="24"/>
        </w:rPr>
        <w:t>Background</w:t>
      </w:r>
    </w:p>
    <w:p w:rsidR="00861569" w:rsidRDefault="00861569" w:rsidP="00861569">
      <w:pPr>
        <w:ind w:right="96"/>
        <w:jc w:val="both"/>
      </w:pPr>
      <w:r>
        <w:t>The County Council’s treasury management activity is underpinned by CIPFA’s Code of Practice on Treasury Management (“the Code”), which requires authorities to produce annually Prudential Indicators and a Treasury Management Strategy Statement on the likely financing and investment activity. The Code also recommends that members are informed of treasury management activities at least twice a year.</w:t>
      </w:r>
      <w:r w:rsidRPr="00861569">
        <w:t xml:space="preserve"> </w:t>
      </w:r>
    </w:p>
    <w:p w:rsidR="00BE75C4" w:rsidRDefault="00BE75C4" w:rsidP="00861569">
      <w:pPr>
        <w:ind w:right="96"/>
        <w:jc w:val="both"/>
      </w:pPr>
    </w:p>
    <w:p w:rsidR="00BE75C4" w:rsidRDefault="00BE75C4" w:rsidP="007828C9">
      <w:pPr>
        <w:jc w:val="both"/>
      </w:pPr>
      <w:r>
        <w:t>This r</w:t>
      </w:r>
      <w:r w:rsidR="00AE2AD0">
        <w:t xml:space="preserve">eport considers treasury </w:t>
      </w:r>
      <w:r w:rsidR="00AE2AD0" w:rsidRPr="00DE7585">
        <w:t xml:space="preserve">management activity </w:t>
      </w:r>
      <w:r w:rsidR="005C5BB1" w:rsidRPr="00DE7585">
        <w:t xml:space="preserve">between </w:t>
      </w:r>
      <w:r w:rsidR="00A70459" w:rsidRPr="00DE7585">
        <w:t>1</w:t>
      </w:r>
      <w:r w:rsidR="00A70459" w:rsidRPr="00DE7585">
        <w:rPr>
          <w:vertAlign w:val="superscript"/>
        </w:rPr>
        <w:t>st</w:t>
      </w:r>
      <w:r w:rsidR="00A70459" w:rsidRPr="00DE7585">
        <w:t xml:space="preserve"> </w:t>
      </w:r>
      <w:r w:rsidR="00597625" w:rsidRPr="00DE7585">
        <w:t xml:space="preserve">September and </w:t>
      </w:r>
      <w:r w:rsidR="00DE7585" w:rsidRPr="00DE7585">
        <w:t>30</w:t>
      </w:r>
      <w:r w:rsidR="00AD3E3C" w:rsidRPr="00DE7585">
        <w:t xml:space="preserve"> </w:t>
      </w:r>
      <w:r w:rsidR="00DE7585" w:rsidRPr="00DE7585">
        <w:t xml:space="preserve">November </w:t>
      </w:r>
      <w:r w:rsidR="00AD3E3C" w:rsidRPr="00DE7585">
        <w:t>2014</w:t>
      </w:r>
      <w:r w:rsidR="005C5BB1">
        <w:t>.</w:t>
      </w:r>
    </w:p>
    <w:p w:rsidR="008D7E16" w:rsidRDefault="008D7E16" w:rsidP="007828C9">
      <w:pPr>
        <w:jc w:val="both"/>
      </w:pPr>
    </w:p>
    <w:p w:rsidR="007828C9" w:rsidRDefault="007828C9" w:rsidP="007828C9">
      <w:pPr>
        <w:jc w:val="both"/>
        <w:rPr>
          <w:b/>
          <w:szCs w:val="24"/>
        </w:rPr>
      </w:pPr>
    </w:p>
    <w:p w:rsidR="00650C2F" w:rsidRPr="00650C2F" w:rsidRDefault="0077384F" w:rsidP="00575736">
      <w:pPr>
        <w:pStyle w:val="ListParagraph"/>
        <w:numPr>
          <w:ilvl w:val="0"/>
          <w:numId w:val="13"/>
        </w:numPr>
        <w:jc w:val="both"/>
        <w:rPr>
          <w:b/>
        </w:rPr>
      </w:pPr>
      <w:r w:rsidRPr="00650C2F">
        <w:rPr>
          <w:b/>
        </w:rPr>
        <w:t>Economic Overview</w:t>
      </w:r>
      <w:r w:rsidR="00597625" w:rsidRPr="00650C2F">
        <w:rPr>
          <w:b/>
        </w:rPr>
        <w:t xml:space="preserve"> </w:t>
      </w:r>
    </w:p>
    <w:p w:rsidR="00650C2F" w:rsidRDefault="00650C2F" w:rsidP="00650C2F">
      <w:pPr>
        <w:jc w:val="both"/>
      </w:pPr>
      <w:r w:rsidRPr="00650C2F">
        <w:t xml:space="preserve">There is momentum in the UK economy, with a continued period of growth through domestically-driven activity and strong household consumption. There are signs that growth is becoming more balanced. The greater contribution from business investment should support continued, albeit slower, expansion of </w:t>
      </w:r>
      <w:r w:rsidR="00F15BE1">
        <w:t xml:space="preserve">the UK's </w:t>
      </w:r>
      <w:r w:rsidRPr="00650C2F">
        <w:t>G</w:t>
      </w:r>
      <w:r w:rsidR="00F15BE1">
        <w:t xml:space="preserve">ross </w:t>
      </w:r>
      <w:r w:rsidRPr="00650C2F">
        <w:t>D</w:t>
      </w:r>
      <w:r w:rsidR="00F15BE1">
        <w:t xml:space="preserve">omestic </w:t>
      </w:r>
      <w:r w:rsidRPr="00650C2F">
        <w:t>P</w:t>
      </w:r>
      <w:r w:rsidR="00F15BE1">
        <w:t>roduct (GDP)</w:t>
      </w:r>
      <w:r w:rsidRPr="00650C2F">
        <w:t xml:space="preserve">. However, </w:t>
      </w:r>
      <w:r w:rsidR="00FD4ED9">
        <w:t xml:space="preserve">there are no signs of inflationary </w:t>
      </w:r>
      <w:r w:rsidRPr="00650C2F">
        <w:t xml:space="preserve">pressure and </w:t>
      </w:r>
      <w:r w:rsidR="00FD4ED9">
        <w:t xml:space="preserve">this </w:t>
      </w:r>
      <w:r w:rsidRPr="00650C2F">
        <w:t xml:space="preserve">is likely to remain </w:t>
      </w:r>
      <w:r w:rsidR="00FD4ED9">
        <w:t>the case at least for</w:t>
      </w:r>
      <w:r w:rsidRPr="00650C2F">
        <w:t xml:space="preserve"> the short-term. There have been large falls in unemployment but levels of part-time working, self-employment and underemployment are significant and nominal earnings growth remains weak and below inflation. </w:t>
      </w:r>
    </w:p>
    <w:p w:rsidR="00650C2F" w:rsidRPr="00650C2F" w:rsidRDefault="00650C2F" w:rsidP="00650C2F">
      <w:pPr>
        <w:jc w:val="both"/>
      </w:pPr>
    </w:p>
    <w:p w:rsidR="00650C2F" w:rsidRPr="00650C2F" w:rsidRDefault="00650C2F" w:rsidP="00650C2F">
      <w:pPr>
        <w:jc w:val="both"/>
      </w:pPr>
      <w:r w:rsidRPr="00650C2F">
        <w:t xml:space="preserve">The </w:t>
      </w:r>
      <w:r>
        <w:t xml:space="preserve">Monetary Policy Committee's </w:t>
      </w:r>
      <w:r w:rsidR="00F15BE1">
        <w:t xml:space="preserve">(MPC) </w:t>
      </w:r>
      <w:r w:rsidRPr="00650C2F">
        <w:t xml:space="preserve">focus is on both the degree of spare capacity in the economy and the rate at which this will be used up, factors prompting some debate on the Committee. Despite two MPC members having voted for a 0.25% increase in rates at each of the meetings </w:t>
      </w:r>
      <w:r>
        <w:t xml:space="preserve">from </w:t>
      </w:r>
      <w:r w:rsidRPr="00650C2F">
        <w:t>August 2014 onwards, some Committee members have become more concerned that the economic outlook is less optimistic than at the time of the August Inflation Report.</w:t>
      </w:r>
    </w:p>
    <w:p w:rsidR="00650C2F" w:rsidRPr="00650C2F" w:rsidRDefault="00650C2F" w:rsidP="00650C2F">
      <w:pPr>
        <w:jc w:val="both"/>
      </w:pPr>
    </w:p>
    <w:p w:rsidR="00DE1885" w:rsidRPr="00650C2F" w:rsidRDefault="00650C2F" w:rsidP="00650C2F">
      <w:pPr>
        <w:jc w:val="both"/>
        <w:rPr>
          <w:highlight w:val="yellow"/>
        </w:rPr>
      </w:pPr>
      <w:r w:rsidRPr="00650C2F">
        <w:t>The transposition of two European Union directives into UK legislation in the coming months will place the burden of rescuing failing EU banks disproportionately onto unsecured local authority investors. The Bank Recovery and Resolution Directive promotes the interests of individual and small businesses covered by the Financial Services Compensation Scheme and similar European schemes, while the recast Deposit Guarantee Schemes Directive includes large companies into these schemes.  The combined effect of these two changes is to leave public authorities and financial organisations (including pension funds) as the only senior creditors likely to incur losses in a failing bank after July 2015.</w:t>
      </w:r>
    </w:p>
    <w:p w:rsidR="00152D50" w:rsidRDefault="00152D50" w:rsidP="00DE1885">
      <w:pPr>
        <w:rPr>
          <w:highlight w:val="yellow"/>
        </w:rPr>
      </w:pPr>
    </w:p>
    <w:p w:rsidR="00152D50" w:rsidRDefault="00152D50" w:rsidP="00152D50">
      <w:pPr>
        <w:pStyle w:val="NormalWeb"/>
        <w:spacing w:after="0"/>
        <w:rPr>
          <w:color w:val="000000"/>
          <w:sz w:val="24"/>
          <w:szCs w:val="24"/>
          <w:highlight w:val="yellow"/>
          <w:lang w:val="en"/>
        </w:rPr>
      </w:pPr>
    </w:p>
    <w:p w:rsidR="00650C2F" w:rsidRDefault="00650C2F" w:rsidP="00152D50">
      <w:pPr>
        <w:pStyle w:val="NormalWeb"/>
        <w:spacing w:after="0"/>
        <w:rPr>
          <w:color w:val="000000"/>
          <w:sz w:val="24"/>
          <w:szCs w:val="24"/>
          <w:highlight w:val="yellow"/>
          <w:lang w:val="en"/>
        </w:rPr>
      </w:pPr>
    </w:p>
    <w:p w:rsidR="00650C2F" w:rsidRPr="00DE7585" w:rsidRDefault="00650C2F" w:rsidP="00152D50">
      <w:pPr>
        <w:pStyle w:val="NormalWeb"/>
        <w:spacing w:after="0"/>
        <w:rPr>
          <w:color w:val="000000"/>
          <w:sz w:val="24"/>
          <w:szCs w:val="24"/>
          <w:highlight w:val="yellow"/>
          <w:lang w:val="en"/>
        </w:rPr>
      </w:pPr>
    </w:p>
    <w:p w:rsidR="00152D50" w:rsidRDefault="00152D50" w:rsidP="00DE1885">
      <w:pPr>
        <w:rPr>
          <w:highlight w:val="yellow"/>
        </w:rPr>
      </w:pPr>
    </w:p>
    <w:p w:rsidR="00FF2B3B" w:rsidRDefault="00FF2B3B" w:rsidP="00DE1885">
      <w:pPr>
        <w:rPr>
          <w:highlight w:val="yellow"/>
        </w:rPr>
      </w:pPr>
    </w:p>
    <w:p w:rsidR="00FF2B3B" w:rsidRPr="00DE7585" w:rsidRDefault="00FF2B3B" w:rsidP="00DE1885">
      <w:pPr>
        <w:rPr>
          <w:highlight w:val="yellow"/>
        </w:rPr>
      </w:pPr>
    </w:p>
    <w:p w:rsidR="007828C9" w:rsidRPr="00BD35DF" w:rsidRDefault="006B2962" w:rsidP="007828C9">
      <w:pPr>
        <w:pStyle w:val="Heading2"/>
        <w:jc w:val="both"/>
        <w:rPr>
          <w:rFonts w:ascii="Arial" w:hAnsi="Arial" w:cs="Arial"/>
          <w:color w:val="auto"/>
          <w:sz w:val="24"/>
          <w:szCs w:val="24"/>
        </w:rPr>
      </w:pPr>
      <w:r w:rsidRPr="00BD35DF">
        <w:rPr>
          <w:rFonts w:ascii="Arial" w:hAnsi="Arial" w:cs="Arial"/>
          <w:color w:val="auto"/>
          <w:sz w:val="24"/>
          <w:szCs w:val="24"/>
        </w:rPr>
        <w:lastRenderedPageBreak/>
        <w:t>2.1</w:t>
      </w:r>
      <w:r w:rsidRPr="00BD35DF">
        <w:rPr>
          <w:rFonts w:ascii="Arial" w:hAnsi="Arial" w:cs="Arial"/>
          <w:color w:val="auto"/>
          <w:sz w:val="24"/>
          <w:szCs w:val="24"/>
        </w:rPr>
        <w:tab/>
      </w:r>
      <w:r w:rsidR="00DE1885" w:rsidRPr="00BD35DF">
        <w:rPr>
          <w:rFonts w:ascii="Arial" w:hAnsi="Arial" w:cs="Arial"/>
          <w:color w:val="auto"/>
          <w:sz w:val="24"/>
          <w:szCs w:val="24"/>
        </w:rPr>
        <w:t>I</w:t>
      </w:r>
      <w:r w:rsidR="007828C9" w:rsidRPr="00BD35DF">
        <w:rPr>
          <w:rFonts w:ascii="Arial" w:hAnsi="Arial" w:cs="Arial"/>
          <w:color w:val="auto"/>
          <w:sz w:val="24"/>
          <w:szCs w:val="24"/>
        </w:rPr>
        <w:t>nterest Rate Environment</w:t>
      </w:r>
    </w:p>
    <w:p w:rsidR="007828C9" w:rsidRPr="00BD35DF" w:rsidRDefault="007828C9" w:rsidP="007828C9"/>
    <w:p w:rsidR="007828C9" w:rsidRDefault="007828C9" w:rsidP="007828C9">
      <w:pPr>
        <w:jc w:val="both"/>
      </w:pPr>
      <w:r w:rsidRPr="00BD35DF">
        <w:t xml:space="preserve">Short term interest rates continue at the very low levels since the Bank of England reduced </w:t>
      </w:r>
      <w:r w:rsidR="00F15BE1">
        <w:t xml:space="preserve">the </w:t>
      </w:r>
      <w:r w:rsidRPr="00BD35DF">
        <w:t xml:space="preserve">base rate to 0.5% in March 2009. The chart below shows that there has been </w:t>
      </w:r>
      <w:r w:rsidR="00BB156A">
        <w:t xml:space="preserve">no </w:t>
      </w:r>
      <w:r w:rsidRPr="00BD35DF">
        <w:t xml:space="preserve">movement in short term interest rates over the first three quarters of the </w:t>
      </w:r>
      <w:r w:rsidR="00300716" w:rsidRPr="00BD35DF">
        <w:t>calendar</w:t>
      </w:r>
      <w:r w:rsidRPr="00BD35DF">
        <w:t xml:space="preserve"> year.</w:t>
      </w:r>
      <w:r w:rsidR="00597625">
        <w:t xml:space="preserve"> </w:t>
      </w:r>
    </w:p>
    <w:p w:rsidR="00650C2F" w:rsidRDefault="00650C2F" w:rsidP="007828C9">
      <w:pPr>
        <w:jc w:val="both"/>
      </w:pPr>
    </w:p>
    <w:p w:rsidR="007828C9" w:rsidRDefault="00C0600B" w:rsidP="007828C9">
      <w:pPr>
        <w:jc w:val="both"/>
        <w:rPr>
          <w:highlight w:val="yellow"/>
        </w:rPr>
      </w:pPr>
      <w:r>
        <w:rPr>
          <w:noProof/>
        </w:rPr>
        <w:drawing>
          <wp:inline distT="0" distB="0" distL="0" distR="0" wp14:anchorId="4484B6F1" wp14:editId="326B18C3">
            <wp:extent cx="5732145" cy="3641090"/>
            <wp:effectExtent l="0" t="0" r="1905" b="165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58F2" w:rsidRDefault="006D58F2" w:rsidP="007828C9">
      <w:pPr>
        <w:jc w:val="both"/>
        <w:rPr>
          <w:highlight w:val="yellow"/>
        </w:rPr>
      </w:pPr>
    </w:p>
    <w:p w:rsidR="00650C2F" w:rsidRPr="00AD3E3C" w:rsidRDefault="00650C2F" w:rsidP="007828C9">
      <w:pPr>
        <w:jc w:val="both"/>
        <w:rPr>
          <w:highlight w:val="yellow"/>
        </w:rPr>
      </w:pPr>
    </w:p>
    <w:p w:rsidR="007828C9" w:rsidRPr="00300716" w:rsidRDefault="007828C9" w:rsidP="007828C9">
      <w:r w:rsidRPr="00300716">
        <w:t>Current longer term PWLB rates are shown below.</w:t>
      </w:r>
    </w:p>
    <w:p w:rsidR="007828C9" w:rsidRPr="00AD3E3C" w:rsidRDefault="007828C9" w:rsidP="007828C9">
      <w:pPr>
        <w:jc w:val="both"/>
        <w:rPr>
          <w:highlight w:val="yellow"/>
        </w:rPr>
      </w:pPr>
    </w:p>
    <w:p w:rsidR="007828C9" w:rsidRDefault="001B726B" w:rsidP="007828C9">
      <w:pPr>
        <w:jc w:val="both"/>
      </w:pPr>
      <w:r>
        <w:rPr>
          <w:noProof/>
        </w:rPr>
        <w:drawing>
          <wp:inline distT="0" distB="0" distL="0" distR="0" wp14:anchorId="51A1C92E" wp14:editId="46AFC978">
            <wp:extent cx="5453592" cy="3344333"/>
            <wp:effectExtent l="0" t="0" r="1397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726B" w:rsidRDefault="00FD4ED9" w:rsidP="007828C9">
      <w:pPr>
        <w:jc w:val="both"/>
      </w:pPr>
      <w:r>
        <w:lastRenderedPageBreak/>
        <w:t xml:space="preserve">These rates are published twice a day by the UK Treasury debt management office and are calculated by adding a spread of </w:t>
      </w:r>
      <w:r w:rsidR="00D43931">
        <w:t xml:space="preserve">100 basis points to gilt yields. They </w:t>
      </w:r>
      <w:r w:rsidR="00BB156A">
        <w:t>are therefore</w:t>
      </w:r>
      <w:r w:rsidR="00D43931">
        <w:t xml:space="preserve"> a good indication of how much it would cost the County Council to finance capital expenditure through the PWLB but also of the direction of long term interest rates in general. </w:t>
      </w:r>
      <w:r>
        <w:t xml:space="preserve"> </w:t>
      </w:r>
    </w:p>
    <w:p w:rsidR="001B726B" w:rsidRPr="00300716" w:rsidRDefault="001B726B" w:rsidP="007828C9">
      <w:pPr>
        <w:jc w:val="both"/>
      </w:pPr>
    </w:p>
    <w:p w:rsidR="00BE2726" w:rsidRDefault="00126861" w:rsidP="007828C9">
      <w:pPr>
        <w:jc w:val="both"/>
      </w:pPr>
      <w:r w:rsidRPr="00BE2726">
        <w:t>Following a period where c</w:t>
      </w:r>
      <w:r w:rsidR="007828C9" w:rsidRPr="00BE2726">
        <w:t>entral bank liquidity injections</w:t>
      </w:r>
      <w:r w:rsidR="00F36DC9" w:rsidRPr="00BE2726">
        <w:t xml:space="preserve">, </w:t>
      </w:r>
      <w:r w:rsidR="007828C9" w:rsidRPr="00BE2726">
        <w:t>the abatement of the euro crisis and the economic recovery ha</w:t>
      </w:r>
      <w:r w:rsidR="00E33FDB">
        <w:t>d</w:t>
      </w:r>
      <w:r w:rsidR="007828C9" w:rsidRPr="00BE2726">
        <w:t xml:space="preserve"> seen a reduction in demand for safe haven asset</w:t>
      </w:r>
      <w:r w:rsidRPr="00BE2726">
        <w:t xml:space="preserve">s including UK Government gilts, </w:t>
      </w:r>
      <w:r w:rsidR="00E33FDB">
        <w:t>the</w:t>
      </w:r>
      <w:r w:rsidR="00BE2726" w:rsidRPr="00BE2726">
        <w:t xml:space="preserve"> picture reve</w:t>
      </w:r>
      <w:r w:rsidR="00E33FDB">
        <w:t>rsed during the s</w:t>
      </w:r>
      <w:r w:rsidR="00BE2726" w:rsidRPr="00BE2726">
        <w:t>ummer of 2014 as economic indicators began to show a less rosy picture.</w:t>
      </w:r>
      <w:r w:rsidR="00E33FDB">
        <w:t xml:space="preserve"> </w:t>
      </w:r>
    </w:p>
    <w:p w:rsidR="00E33FDB" w:rsidRPr="00BE2726" w:rsidRDefault="00E33FDB" w:rsidP="007828C9">
      <w:pPr>
        <w:jc w:val="both"/>
      </w:pPr>
    </w:p>
    <w:p w:rsidR="00E33FDB" w:rsidRPr="00E33FDB" w:rsidRDefault="00E33FDB" w:rsidP="00861569">
      <w:pPr>
        <w:jc w:val="both"/>
      </w:pPr>
      <w:r w:rsidRPr="00E33FDB">
        <w:t xml:space="preserve">The </w:t>
      </w:r>
      <w:r>
        <w:t xml:space="preserve">autumn recorded </w:t>
      </w:r>
      <w:r w:rsidRPr="00E33FDB">
        <w:t>continuing poor financial news from Europe and Chin</w:t>
      </w:r>
      <w:r>
        <w:t>a, and</w:t>
      </w:r>
      <w:r w:rsidR="00861569">
        <w:t xml:space="preserve"> </w:t>
      </w:r>
      <w:r w:rsidR="00B37B14">
        <w:t xml:space="preserve">this </w:t>
      </w:r>
      <w:r w:rsidRPr="00E33FDB">
        <w:t xml:space="preserve">combined with </w:t>
      </w:r>
      <w:r>
        <w:t xml:space="preserve">significantly </w:t>
      </w:r>
      <w:r w:rsidRPr="00E33FDB">
        <w:t xml:space="preserve">heightened geo-political risk has seen bond markets push on to even higher levels </w:t>
      </w:r>
      <w:r w:rsidR="00B37B14">
        <w:t>with</w:t>
      </w:r>
      <w:r w:rsidRPr="00E33FDB">
        <w:t xml:space="preserve"> the UK in particular continu</w:t>
      </w:r>
      <w:r w:rsidR="00B37B14">
        <w:t>ing</w:t>
      </w:r>
      <w:r w:rsidRPr="00E33FDB">
        <w:t xml:space="preserve"> to set new historic lows in long </w:t>
      </w:r>
      <w:r>
        <w:t xml:space="preserve">term </w:t>
      </w:r>
      <w:r w:rsidRPr="00E33FDB">
        <w:t>rates</w:t>
      </w:r>
      <w:r>
        <w:t>.</w:t>
      </w:r>
    </w:p>
    <w:p w:rsidR="00BE2726" w:rsidRDefault="00BE2726" w:rsidP="007828C9">
      <w:pPr>
        <w:jc w:val="both"/>
        <w:rPr>
          <w:highlight w:val="yellow"/>
        </w:rPr>
      </w:pPr>
    </w:p>
    <w:p w:rsidR="007828C9" w:rsidRPr="00DE7585" w:rsidRDefault="007828C9" w:rsidP="007828C9">
      <w:pPr>
        <w:rPr>
          <w:highlight w:val="yellow"/>
        </w:rPr>
      </w:pPr>
    </w:p>
    <w:p w:rsidR="007828C9" w:rsidRPr="009D726B" w:rsidRDefault="006B2962" w:rsidP="007828C9">
      <w:pPr>
        <w:jc w:val="both"/>
        <w:rPr>
          <w:b/>
        </w:rPr>
      </w:pPr>
      <w:r w:rsidRPr="009D726B">
        <w:rPr>
          <w:b/>
        </w:rPr>
        <w:t>2.2</w:t>
      </w:r>
      <w:r w:rsidRPr="009D726B">
        <w:rPr>
          <w:b/>
        </w:rPr>
        <w:tab/>
      </w:r>
      <w:r w:rsidR="007828C9" w:rsidRPr="009D726B">
        <w:rPr>
          <w:b/>
        </w:rPr>
        <w:t>Outlook for Interest Rates</w:t>
      </w:r>
      <w:r w:rsidR="00597625" w:rsidRPr="009D726B">
        <w:rPr>
          <w:b/>
        </w:rPr>
        <w:t xml:space="preserve"> </w:t>
      </w:r>
    </w:p>
    <w:p w:rsidR="001130C7" w:rsidRPr="00DE7585" w:rsidRDefault="001130C7" w:rsidP="001130C7">
      <w:pPr>
        <w:pStyle w:val="Default"/>
        <w:rPr>
          <w:highlight w:val="yellow"/>
        </w:rPr>
      </w:pPr>
    </w:p>
    <w:p w:rsidR="00BB156A" w:rsidRPr="00BF2958" w:rsidRDefault="00861569" w:rsidP="00861569">
      <w:pPr>
        <w:pStyle w:val="Default"/>
        <w:jc w:val="both"/>
        <w:rPr>
          <w:rFonts w:ascii="Arial" w:hAnsi="Arial" w:cs="Arial"/>
          <w:color w:val="auto"/>
        </w:rPr>
      </w:pPr>
      <w:r>
        <w:rPr>
          <w:rFonts w:ascii="Arial" w:hAnsi="Arial" w:cs="Arial"/>
          <w:color w:val="auto"/>
        </w:rPr>
        <w:t xml:space="preserve">Treasury Consultants </w:t>
      </w:r>
      <w:proofErr w:type="spellStart"/>
      <w:r>
        <w:rPr>
          <w:rFonts w:ascii="Arial" w:hAnsi="Arial" w:cs="Arial"/>
          <w:color w:val="auto"/>
        </w:rPr>
        <w:t>Arlingclose</w:t>
      </w:r>
      <w:proofErr w:type="spellEnd"/>
      <w:r>
        <w:rPr>
          <w:rFonts w:ascii="Arial" w:hAnsi="Arial" w:cs="Arial"/>
          <w:color w:val="auto"/>
        </w:rPr>
        <w:t xml:space="preserve"> Ltd forecast the</w:t>
      </w:r>
      <w:r w:rsidR="00B37B14" w:rsidRPr="00B37B14">
        <w:rPr>
          <w:rFonts w:ascii="Arial" w:hAnsi="Arial" w:cs="Arial"/>
          <w:color w:val="auto"/>
        </w:rPr>
        <w:t xml:space="preserve"> first rise </w:t>
      </w:r>
      <w:r w:rsidR="00FC5B38">
        <w:rPr>
          <w:rFonts w:ascii="Arial" w:hAnsi="Arial" w:cs="Arial"/>
          <w:color w:val="auto"/>
        </w:rPr>
        <w:t>for</w:t>
      </w:r>
      <w:r w:rsidR="00FC5B38" w:rsidRPr="00B37B14">
        <w:rPr>
          <w:rFonts w:ascii="Arial" w:hAnsi="Arial" w:cs="Arial"/>
          <w:color w:val="auto"/>
        </w:rPr>
        <w:t xml:space="preserve"> </w:t>
      </w:r>
      <w:r w:rsidR="00B37B14" w:rsidRPr="00B37B14">
        <w:rPr>
          <w:rFonts w:ascii="Arial" w:hAnsi="Arial" w:cs="Arial"/>
          <w:color w:val="auto"/>
        </w:rPr>
        <w:t>official interest rates</w:t>
      </w:r>
      <w:r w:rsidR="00FC5B38">
        <w:rPr>
          <w:rFonts w:ascii="Arial" w:hAnsi="Arial" w:cs="Arial"/>
          <w:color w:val="auto"/>
        </w:rPr>
        <w:t xml:space="preserve"> to be in</w:t>
      </w:r>
      <w:r w:rsidR="00B37B14" w:rsidRPr="00B37B14">
        <w:rPr>
          <w:rFonts w:ascii="Arial" w:hAnsi="Arial" w:cs="Arial"/>
          <w:color w:val="auto"/>
        </w:rPr>
        <w:t xml:space="preserve"> September 2015 with a gradual pace of increases thereafter</w:t>
      </w:r>
      <w:r w:rsidR="00FC5B38">
        <w:rPr>
          <w:rFonts w:ascii="Arial" w:hAnsi="Arial" w:cs="Arial"/>
          <w:color w:val="auto"/>
        </w:rPr>
        <w:t xml:space="preserve"> and </w:t>
      </w:r>
      <w:r w:rsidR="00B37B14" w:rsidRPr="00B37B14">
        <w:rPr>
          <w:rFonts w:ascii="Arial" w:hAnsi="Arial" w:cs="Arial"/>
          <w:color w:val="auto"/>
        </w:rPr>
        <w:t>the</w:t>
      </w:r>
      <w:r>
        <w:rPr>
          <w:rFonts w:ascii="Arial" w:hAnsi="Arial" w:cs="Arial"/>
          <w:color w:val="auto"/>
        </w:rPr>
        <w:t xml:space="preserve"> </w:t>
      </w:r>
      <w:r w:rsidR="00B37B14" w:rsidRPr="00B37B14">
        <w:rPr>
          <w:rFonts w:ascii="Arial" w:hAnsi="Arial" w:cs="Arial"/>
          <w:color w:val="auto"/>
        </w:rPr>
        <w:t xml:space="preserve">average </w:t>
      </w:r>
      <w:r w:rsidR="00D43931">
        <w:rPr>
          <w:rFonts w:ascii="Arial" w:hAnsi="Arial" w:cs="Arial"/>
          <w:color w:val="auto"/>
        </w:rPr>
        <w:t xml:space="preserve">bank </w:t>
      </w:r>
      <w:r w:rsidR="00B37B14" w:rsidRPr="00B37B14">
        <w:rPr>
          <w:rFonts w:ascii="Arial" w:hAnsi="Arial" w:cs="Arial"/>
          <w:color w:val="auto"/>
        </w:rPr>
        <w:t>rate for 2015/16 being around 0.75</w:t>
      </w:r>
      <w:r w:rsidR="00B37B14" w:rsidRPr="00BF2958">
        <w:rPr>
          <w:rFonts w:ascii="Arial" w:hAnsi="Arial" w:cs="Arial"/>
          <w:color w:val="auto"/>
        </w:rPr>
        <w:t xml:space="preserve">%.  </w:t>
      </w:r>
      <w:proofErr w:type="spellStart"/>
      <w:r w:rsidR="00B37B14" w:rsidRPr="00BF2958">
        <w:rPr>
          <w:rFonts w:ascii="Arial" w:hAnsi="Arial" w:cs="Arial"/>
          <w:color w:val="auto"/>
        </w:rPr>
        <w:t>Arlingclose</w:t>
      </w:r>
      <w:proofErr w:type="spellEnd"/>
      <w:r w:rsidR="00B37B14" w:rsidRPr="00BF2958">
        <w:rPr>
          <w:rFonts w:ascii="Arial" w:hAnsi="Arial" w:cs="Arial"/>
          <w:color w:val="auto"/>
        </w:rPr>
        <w:t xml:space="preserve"> </w:t>
      </w:r>
      <w:r w:rsidR="00D43931" w:rsidRPr="00BF2958">
        <w:rPr>
          <w:rFonts w:ascii="Arial" w:hAnsi="Arial" w:cs="Arial"/>
          <w:color w:val="auto"/>
        </w:rPr>
        <w:t xml:space="preserve">are </w:t>
      </w:r>
      <w:r w:rsidR="00FC5B38" w:rsidRPr="00BF2958">
        <w:rPr>
          <w:rFonts w:ascii="Arial" w:hAnsi="Arial" w:cs="Arial"/>
          <w:color w:val="auto"/>
        </w:rPr>
        <w:t xml:space="preserve">also </w:t>
      </w:r>
      <w:r w:rsidR="00D43931" w:rsidRPr="00BF2958">
        <w:rPr>
          <w:rFonts w:ascii="Arial" w:hAnsi="Arial" w:cs="Arial"/>
          <w:color w:val="auto"/>
        </w:rPr>
        <w:t>forecasting that</w:t>
      </w:r>
      <w:r w:rsidR="006A1F1D" w:rsidRPr="00BF2958">
        <w:rPr>
          <w:rFonts w:ascii="Arial" w:hAnsi="Arial" w:cs="Arial"/>
          <w:color w:val="auto"/>
        </w:rPr>
        <w:t xml:space="preserve"> </w:t>
      </w:r>
      <w:r w:rsidR="00D43931" w:rsidRPr="00BF2958">
        <w:rPr>
          <w:rFonts w:ascii="Arial" w:hAnsi="Arial" w:cs="Arial"/>
          <w:color w:val="auto"/>
        </w:rPr>
        <w:t xml:space="preserve">when </w:t>
      </w:r>
      <w:r w:rsidR="006A1F1D" w:rsidRPr="00BF2958">
        <w:rPr>
          <w:rFonts w:ascii="Arial" w:hAnsi="Arial" w:cs="Arial"/>
          <w:color w:val="auto"/>
        </w:rPr>
        <w:t>the economy reaches the point that it can be considered to have recovered from the financial crisis, and rates</w:t>
      </w:r>
      <w:r w:rsidR="00D43931" w:rsidRPr="00BF2958">
        <w:rPr>
          <w:rFonts w:ascii="Arial" w:hAnsi="Arial" w:cs="Arial"/>
          <w:color w:val="auto"/>
        </w:rPr>
        <w:t xml:space="preserve"> rise to </w:t>
      </w:r>
      <w:r w:rsidR="006A1F1D" w:rsidRPr="00BF2958">
        <w:rPr>
          <w:rFonts w:ascii="Arial" w:hAnsi="Arial" w:cs="Arial"/>
          <w:color w:val="auto"/>
        </w:rPr>
        <w:t>'normal' levels,</w:t>
      </w:r>
      <w:r w:rsidR="00B37B14" w:rsidRPr="00BF2958">
        <w:rPr>
          <w:rFonts w:ascii="Arial" w:hAnsi="Arial" w:cs="Arial"/>
          <w:color w:val="auto"/>
        </w:rPr>
        <w:t xml:space="preserve"> </w:t>
      </w:r>
      <w:r w:rsidR="006A1F1D" w:rsidRPr="00BF2958">
        <w:rPr>
          <w:rFonts w:ascii="Arial" w:hAnsi="Arial" w:cs="Arial"/>
          <w:color w:val="auto"/>
        </w:rPr>
        <w:t>b</w:t>
      </w:r>
      <w:r w:rsidR="00B37B14" w:rsidRPr="00BF2958">
        <w:rPr>
          <w:rFonts w:ascii="Arial" w:hAnsi="Arial" w:cs="Arial"/>
          <w:color w:val="auto"/>
        </w:rPr>
        <w:t xml:space="preserve">ank </w:t>
      </w:r>
      <w:r w:rsidR="006A1F1D" w:rsidRPr="00BF2958">
        <w:rPr>
          <w:rFonts w:ascii="Arial" w:hAnsi="Arial" w:cs="Arial"/>
          <w:color w:val="auto"/>
        </w:rPr>
        <w:t>r</w:t>
      </w:r>
      <w:r w:rsidR="00B37B14" w:rsidRPr="00BF2958">
        <w:rPr>
          <w:rFonts w:ascii="Arial" w:hAnsi="Arial" w:cs="Arial"/>
          <w:color w:val="auto"/>
        </w:rPr>
        <w:t xml:space="preserve">ate </w:t>
      </w:r>
      <w:r w:rsidR="006A1F1D" w:rsidRPr="00BF2958">
        <w:rPr>
          <w:rFonts w:ascii="Arial" w:hAnsi="Arial" w:cs="Arial"/>
          <w:color w:val="auto"/>
        </w:rPr>
        <w:t>will</w:t>
      </w:r>
      <w:r w:rsidR="00B37B14" w:rsidRPr="00BF2958">
        <w:rPr>
          <w:rFonts w:ascii="Arial" w:hAnsi="Arial" w:cs="Arial"/>
          <w:color w:val="auto"/>
        </w:rPr>
        <w:t xml:space="preserve"> range between 2.5% and 3.5%</w:t>
      </w:r>
      <w:r w:rsidR="00FC5B38" w:rsidRPr="00BF2958">
        <w:rPr>
          <w:rFonts w:ascii="Arial" w:hAnsi="Arial" w:cs="Arial"/>
          <w:color w:val="auto"/>
        </w:rPr>
        <w:t>, considerably lower than pre-crisis levels</w:t>
      </w:r>
      <w:r w:rsidR="00B37B14" w:rsidRPr="00BF2958">
        <w:rPr>
          <w:rFonts w:ascii="Arial" w:hAnsi="Arial" w:cs="Arial"/>
          <w:color w:val="auto"/>
        </w:rPr>
        <w:t>.</w:t>
      </w:r>
    </w:p>
    <w:p w:rsidR="00BB156A" w:rsidRPr="00BF2958" w:rsidRDefault="00BF2958" w:rsidP="00BF2958">
      <w:pPr>
        <w:pStyle w:val="Default"/>
        <w:tabs>
          <w:tab w:val="left" w:pos="7425"/>
        </w:tabs>
        <w:jc w:val="both"/>
        <w:rPr>
          <w:rFonts w:ascii="Arial" w:hAnsi="Arial" w:cs="Arial"/>
          <w:color w:val="auto"/>
        </w:rPr>
      </w:pPr>
      <w:r w:rsidRPr="00BF2958">
        <w:rPr>
          <w:rFonts w:ascii="Arial" w:hAnsi="Arial" w:cs="Arial"/>
          <w:color w:val="auto"/>
        </w:rPr>
        <w:tab/>
      </w:r>
    </w:p>
    <w:p w:rsidR="00B37B14" w:rsidRDefault="00B37B14" w:rsidP="00861569">
      <w:pPr>
        <w:pStyle w:val="Default"/>
        <w:jc w:val="both"/>
        <w:rPr>
          <w:rFonts w:ascii="Arial" w:hAnsi="Arial" w:cs="Arial"/>
          <w:color w:val="auto"/>
        </w:rPr>
      </w:pPr>
      <w:r w:rsidRPr="00B37B14">
        <w:rPr>
          <w:rFonts w:ascii="Arial" w:hAnsi="Arial" w:cs="Arial"/>
          <w:color w:val="auto"/>
        </w:rPr>
        <w:t xml:space="preserve"> </w:t>
      </w:r>
      <w:proofErr w:type="spellStart"/>
      <w:r w:rsidR="0092192D">
        <w:rPr>
          <w:rFonts w:ascii="Arial" w:hAnsi="Arial" w:cs="Arial"/>
          <w:color w:val="auto"/>
        </w:rPr>
        <w:t>Arlingclose</w:t>
      </w:r>
      <w:proofErr w:type="spellEnd"/>
      <w:r w:rsidR="0092192D">
        <w:rPr>
          <w:rFonts w:ascii="Arial" w:hAnsi="Arial" w:cs="Arial"/>
          <w:color w:val="auto"/>
        </w:rPr>
        <w:t xml:space="preserve"> consider that t</w:t>
      </w:r>
      <w:r w:rsidRPr="00B37B14">
        <w:rPr>
          <w:rFonts w:ascii="Arial" w:hAnsi="Arial" w:cs="Arial"/>
          <w:color w:val="auto"/>
        </w:rPr>
        <w:t>he risk interest rates</w:t>
      </w:r>
      <w:r w:rsidR="0092192D">
        <w:rPr>
          <w:rFonts w:ascii="Arial" w:hAnsi="Arial" w:cs="Arial"/>
          <w:color w:val="auto"/>
        </w:rPr>
        <w:t xml:space="preserve"> will be </w:t>
      </w:r>
      <w:r w:rsidRPr="00B37B14">
        <w:rPr>
          <w:rFonts w:ascii="Arial" w:hAnsi="Arial" w:cs="Arial"/>
          <w:color w:val="auto"/>
        </w:rPr>
        <w:t>higher</w:t>
      </w:r>
      <w:r w:rsidR="00FC5B38">
        <w:rPr>
          <w:rFonts w:ascii="Arial" w:hAnsi="Arial" w:cs="Arial"/>
          <w:color w:val="auto"/>
        </w:rPr>
        <w:t xml:space="preserve"> than this forecast</w:t>
      </w:r>
      <w:r w:rsidRPr="00B37B14">
        <w:rPr>
          <w:rFonts w:ascii="Arial" w:hAnsi="Arial" w:cs="Arial"/>
          <w:color w:val="auto"/>
        </w:rPr>
        <w:t xml:space="preserve"> </w:t>
      </w:r>
      <w:r w:rsidR="0092192D">
        <w:rPr>
          <w:rFonts w:ascii="Arial" w:hAnsi="Arial" w:cs="Arial"/>
          <w:color w:val="auto"/>
        </w:rPr>
        <w:t>increases</w:t>
      </w:r>
      <w:r w:rsidR="00FC5B38">
        <w:rPr>
          <w:rFonts w:ascii="Arial" w:hAnsi="Arial" w:cs="Arial"/>
          <w:color w:val="auto"/>
        </w:rPr>
        <w:t xml:space="preserve"> </w:t>
      </w:r>
      <w:r w:rsidR="0092192D">
        <w:rPr>
          <w:rFonts w:ascii="Arial" w:hAnsi="Arial" w:cs="Arial"/>
          <w:color w:val="auto"/>
        </w:rPr>
        <w:t xml:space="preserve">as the forecast looks </w:t>
      </w:r>
      <w:r w:rsidR="00FC5B38">
        <w:rPr>
          <w:rFonts w:ascii="Arial" w:hAnsi="Arial" w:cs="Arial"/>
          <w:color w:val="auto"/>
        </w:rPr>
        <w:t xml:space="preserve">further </w:t>
      </w:r>
      <w:r w:rsidR="0092192D">
        <w:rPr>
          <w:rFonts w:ascii="Arial" w:hAnsi="Arial" w:cs="Arial"/>
          <w:color w:val="auto"/>
        </w:rPr>
        <w:t>into the future beyond 2016</w:t>
      </w:r>
      <w:r w:rsidRPr="00B37B14">
        <w:rPr>
          <w:rFonts w:ascii="Arial" w:hAnsi="Arial" w:cs="Arial"/>
          <w:color w:val="auto"/>
        </w:rPr>
        <w:t>. On the downside,</w:t>
      </w:r>
      <w:r w:rsidR="0092192D">
        <w:rPr>
          <w:rFonts w:ascii="Arial" w:hAnsi="Arial" w:cs="Arial"/>
          <w:color w:val="auto"/>
        </w:rPr>
        <w:t xml:space="preserve"> the chance that interest rates will be lower than the forecast,</w:t>
      </w:r>
      <w:r w:rsidRPr="00B37B14">
        <w:rPr>
          <w:rFonts w:ascii="Arial" w:hAnsi="Arial" w:cs="Arial"/>
          <w:color w:val="auto"/>
        </w:rPr>
        <w:t xml:space="preserve"> Eurozone weakness and the threat of deflation have increased the risks to the durability of UK growth. If the negative indicators from the Eurozone become more entrenched, the Bank of England will likely defer rate rises to later in the year</w:t>
      </w:r>
      <w:r w:rsidR="0092192D">
        <w:rPr>
          <w:rFonts w:ascii="Arial" w:hAnsi="Arial" w:cs="Arial"/>
          <w:color w:val="auto"/>
        </w:rPr>
        <w:t xml:space="preserve"> and so this risk is higher at the near end of the forecast.</w:t>
      </w:r>
    </w:p>
    <w:p w:rsidR="00B37B14" w:rsidRDefault="00B37B14" w:rsidP="00B37B14">
      <w:pPr>
        <w:pStyle w:val="Default"/>
        <w:rPr>
          <w:rFonts w:ascii="Arial" w:hAnsi="Arial" w:cs="Arial"/>
          <w:color w:val="auto"/>
        </w:rPr>
      </w:pPr>
    </w:p>
    <w:p w:rsidR="001130C7" w:rsidRPr="00B37B14" w:rsidRDefault="009F594E" w:rsidP="005D3268">
      <w:pPr>
        <w:pStyle w:val="Default"/>
        <w:jc w:val="both"/>
        <w:rPr>
          <w:rFonts w:ascii="Arial" w:hAnsi="Arial" w:cs="Arial"/>
          <w:color w:val="auto"/>
        </w:rPr>
      </w:pPr>
      <w:proofErr w:type="spellStart"/>
      <w:r>
        <w:rPr>
          <w:rFonts w:ascii="Arial" w:hAnsi="Arial" w:cs="Arial"/>
          <w:color w:val="auto"/>
        </w:rPr>
        <w:t>Arlingclose</w:t>
      </w:r>
      <w:proofErr w:type="spellEnd"/>
      <w:r>
        <w:rPr>
          <w:rFonts w:ascii="Arial" w:hAnsi="Arial" w:cs="Arial"/>
          <w:color w:val="auto"/>
        </w:rPr>
        <w:t xml:space="preserve"> expect t</w:t>
      </w:r>
      <w:r w:rsidR="00B37B14" w:rsidRPr="00B37B14">
        <w:rPr>
          <w:rFonts w:ascii="Arial" w:hAnsi="Arial" w:cs="Arial"/>
          <w:color w:val="auto"/>
        </w:rPr>
        <w:t>he deteriorating Eurozone situation</w:t>
      </w:r>
      <w:r w:rsidR="0092192D">
        <w:rPr>
          <w:rFonts w:ascii="Arial" w:hAnsi="Arial" w:cs="Arial"/>
          <w:color w:val="auto"/>
        </w:rPr>
        <w:t xml:space="preserve"> </w:t>
      </w:r>
      <w:r>
        <w:rPr>
          <w:rFonts w:ascii="Arial" w:hAnsi="Arial" w:cs="Arial"/>
          <w:color w:val="auto"/>
        </w:rPr>
        <w:t>will result in</w:t>
      </w:r>
      <w:r w:rsidR="0092192D">
        <w:rPr>
          <w:rFonts w:ascii="Arial" w:hAnsi="Arial" w:cs="Arial"/>
          <w:color w:val="auto"/>
        </w:rPr>
        <w:t xml:space="preserve"> gilt yields will </w:t>
      </w:r>
      <w:r>
        <w:rPr>
          <w:rFonts w:ascii="Arial" w:hAnsi="Arial" w:cs="Arial"/>
          <w:color w:val="auto"/>
        </w:rPr>
        <w:t xml:space="preserve">remain low in the short term but still on </w:t>
      </w:r>
      <w:r w:rsidR="00B37B14" w:rsidRPr="00B37B14">
        <w:rPr>
          <w:rFonts w:ascii="Arial" w:hAnsi="Arial" w:cs="Arial"/>
          <w:color w:val="auto"/>
        </w:rPr>
        <w:t xml:space="preserve">an upward path </w:t>
      </w:r>
      <w:r>
        <w:rPr>
          <w:rFonts w:ascii="Arial" w:hAnsi="Arial" w:cs="Arial"/>
          <w:color w:val="auto"/>
        </w:rPr>
        <w:t>through</w:t>
      </w:r>
      <w:r w:rsidR="00B37B14" w:rsidRPr="00B37B14">
        <w:rPr>
          <w:rFonts w:ascii="Arial" w:hAnsi="Arial" w:cs="Arial"/>
          <w:color w:val="auto"/>
        </w:rPr>
        <w:t xml:space="preserve"> the medium term.</w:t>
      </w:r>
    </w:p>
    <w:p w:rsidR="00B37B14" w:rsidRPr="00DE7585" w:rsidRDefault="00B37B14" w:rsidP="00B37B14">
      <w:pPr>
        <w:pStyle w:val="Default"/>
        <w:rPr>
          <w:rFonts w:cs="Times New Roman"/>
          <w:color w:val="auto"/>
          <w:highlight w:val="yellow"/>
        </w:rPr>
      </w:pPr>
    </w:p>
    <w:tbl>
      <w:tblPr>
        <w:tblW w:w="7183" w:type="dxa"/>
        <w:tblLook w:val="04A0" w:firstRow="1" w:lastRow="0" w:firstColumn="1" w:lastColumn="0" w:noHBand="0" w:noVBand="1"/>
      </w:tblPr>
      <w:tblGrid>
        <w:gridCol w:w="1775"/>
        <w:gridCol w:w="1352"/>
        <w:gridCol w:w="1352"/>
        <w:gridCol w:w="1352"/>
        <w:gridCol w:w="1352"/>
      </w:tblGrid>
      <w:tr w:rsidR="009D726B" w:rsidRPr="009D726B" w:rsidTr="00B37B14">
        <w:trPr>
          <w:trHeight w:val="948"/>
        </w:trPr>
        <w:tc>
          <w:tcPr>
            <w:tcW w:w="177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9D726B" w:rsidRPr="009D726B" w:rsidRDefault="009D726B" w:rsidP="009D726B">
            <w:pPr>
              <w:rPr>
                <w:rFonts w:cs="Arial"/>
                <w:color w:val="000000"/>
                <w:szCs w:val="24"/>
              </w:rPr>
            </w:pPr>
            <w:r w:rsidRPr="009D726B">
              <w:rPr>
                <w:rFonts w:cs="Arial"/>
                <w:color w:val="000000"/>
                <w:szCs w:val="24"/>
              </w:rPr>
              <w:t>Period</w:t>
            </w:r>
          </w:p>
        </w:tc>
        <w:tc>
          <w:tcPr>
            <w:tcW w:w="1352" w:type="dxa"/>
            <w:tcBorders>
              <w:top w:val="single" w:sz="8" w:space="0" w:color="auto"/>
              <w:left w:val="nil"/>
              <w:bottom w:val="single" w:sz="8" w:space="0" w:color="auto"/>
              <w:right w:val="single" w:sz="8" w:space="0" w:color="auto"/>
            </w:tcBorders>
            <w:shd w:val="clear" w:color="000000" w:fill="C0C0C0"/>
            <w:vAlign w:val="center"/>
            <w:hideMark/>
          </w:tcPr>
          <w:p w:rsidR="009D726B" w:rsidRPr="009D726B" w:rsidRDefault="009D726B" w:rsidP="009D726B">
            <w:pPr>
              <w:jc w:val="center"/>
              <w:rPr>
                <w:rFonts w:cs="Arial"/>
                <w:color w:val="000000"/>
                <w:szCs w:val="24"/>
              </w:rPr>
            </w:pPr>
            <w:r w:rsidRPr="009D726B">
              <w:rPr>
                <w:rFonts w:cs="Arial"/>
                <w:color w:val="000000"/>
                <w:szCs w:val="24"/>
              </w:rPr>
              <w:t>Bank Rate</w:t>
            </w:r>
          </w:p>
        </w:tc>
        <w:tc>
          <w:tcPr>
            <w:tcW w:w="1352" w:type="dxa"/>
            <w:tcBorders>
              <w:top w:val="single" w:sz="8" w:space="0" w:color="auto"/>
              <w:left w:val="nil"/>
              <w:bottom w:val="single" w:sz="8" w:space="0" w:color="auto"/>
              <w:right w:val="single" w:sz="8" w:space="0" w:color="auto"/>
            </w:tcBorders>
            <w:shd w:val="clear" w:color="000000" w:fill="C0C0C0"/>
            <w:vAlign w:val="center"/>
            <w:hideMark/>
          </w:tcPr>
          <w:p w:rsidR="009D726B" w:rsidRPr="009D726B" w:rsidRDefault="009D726B" w:rsidP="009D726B">
            <w:pPr>
              <w:jc w:val="center"/>
              <w:rPr>
                <w:rFonts w:cs="Arial"/>
                <w:color w:val="000000"/>
                <w:szCs w:val="24"/>
              </w:rPr>
            </w:pPr>
            <w:r w:rsidRPr="009D726B">
              <w:rPr>
                <w:rFonts w:cs="Arial"/>
                <w:color w:val="000000"/>
                <w:szCs w:val="24"/>
              </w:rPr>
              <w:t>3 month LIBID</w:t>
            </w:r>
          </w:p>
        </w:tc>
        <w:tc>
          <w:tcPr>
            <w:tcW w:w="1352" w:type="dxa"/>
            <w:tcBorders>
              <w:top w:val="single" w:sz="8" w:space="0" w:color="auto"/>
              <w:left w:val="nil"/>
              <w:bottom w:val="single" w:sz="8" w:space="0" w:color="auto"/>
              <w:right w:val="single" w:sz="8" w:space="0" w:color="auto"/>
            </w:tcBorders>
            <w:shd w:val="clear" w:color="000000" w:fill="C0C0C0"/>
            <w:vAlign w:val="center"/>
            <w:hideMark/>
          </w:tcPr>
          <w:p w:rsidR="009D726B" w:rsidRPr="009D726B" w:rsidRDefault="009D726B" w:rsidP="009D726B">
            <w:pPr>
              <w:jc w:val="center"/>
              <w:rPr>
                <w:rFonts w:cs="Arial"/>
                <w:color w:val="000000"/>
                <w:szCs w:val="24"/>
              </w:rPr>
            </w:pPr>
            <w:r w:rsidRPr="009D726B">
              <w:rPr>
                <w:rFonts w:cs="Arial"/>
                <w:color w:val="000000"/>
                <w:szCs w:val="24"/>
              </w:rPr>
              <w:t>12 month LIBID</w:t>
            </w:r>
          </w:p>
        </w:tc>
        <w:tc>
          <w:tcPr>
            <w:tcW w:w="1352" w:type="dxa"/>
            <w:tcBorders>
              <w:top w:val="single" w:sz="8" w:space="0" w:color="auto"/>
              <w:left w:val="nil"/>
              <w:bottom w:val="single" w:sz="8" w:space="0" w:color="auto"/>
              <w:right w:val="single" w:sz="8" w:space="0" w:color="auto"/>
            </w:tcBorders>
            <w:shd w:val="clear" w:color="000000" w:fill="C0C0C0"/>
            <w:vAlign w:val="center"/>
            <w:hideMark/>
          </w:tcPr>
          <w:p w:rsidR="009D726B" w:rsidRPr="009D726B" w:rsidRDefault="009D726B" w:rsidP="009D726B">
            <w:pPr>
              <w:jc w:val="center"/>
              <w:rPr>
                <w:rFonts w:cs="Arial"/>
                <w:color w:val="000000"/>
                <w:szCs w:val="24"/>
              </w:rPr>
            </w:pPr>
            <w:r w:rsidRPr="009D726B">
              <w:rPr>
                <w:rFonts w:cs="Arial"/>
                <w:color w:val="000000"/>
                <w:szCs w:val="24"/>
              </w:rPr>
              <w:t>20-year Gilt Rate</w:t>
            </w:r>
          </w:p>
        </w:tc>
      </w:tr>
      <w:tr w:rsidR="009D726B" w:rsidRPr="009D726B" w:rsidTr="00B37B14">
        <w:trPr>
          <w:trHeight w:val="544"/>
        </w:trPr>
        <w:tc>
          <w:tcPr>
            <w:tcW w:w="1775" w:type="dxa"/>
            <w:tcBorders>
              <w:top w:val="nil"/>
              <w:left w:val="single" w:sz="8" w:space="0" w:color="auto"/>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Q1 2015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0.50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0.60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1.00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2.55</w:t>
            </w:r>
          </w:p>
        </w:tc>
      </w:tr>
      <w:tr w:rsidR="009D726B" w:rsidRPr="009D726B" w:rsidTr="00B37B14">
        <w:trPr>
          <w:trHeight w:val="311"/>
        </w:trPr>
        <w:tc>
          <w:tcPr>
            <w:tcW w:w="1775" w:type="dxa"/>
            <w:tcBorders>
              <w:top w:val="nil"/>
              <w:left w:val="single" w:sz="8" w:space="0" w:color="auto"/>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Q2 2015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0.50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0.75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1.05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2.65</w:t>
            </w:r>
          </w:p>
        </w:tc>
      </w:tr>
      <w:tr w:rsidR="009D726B" w:rsidRPr="009D726B" w:rsidTr="00B37B14">
        <w:trPr>
          <w:trHeight w:val="311"/>
        </w:trPr>
        <w:tc>
          <w:tcPr>
            <w:tcW w:w="1775" w:type="dxa"/>
            <w:tcBorders>
              <w:top w:val="nil"/>
              <w:left w:val="single" w:sz="8" w:space="0" w:color="auto"/>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Q3 2015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0.75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0.90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1.20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2.75</w:t>
            </w:r>
          </w:p>
        </w:tc>
      </w:tr>
      <w:tr w:rsidR="009D726B" w:rsidRPr="009D726B" w:rsidTr="00B37B14">
        <w:trPr>
          <w:trHeight w:val="311"/>
        </w:trPr>
        <w:tc>
          <w:tcPr>
            <w:tcW w:w="1775" w:type="dxa"/>
            <w:tcBorders>
              <w:top w:val="nil"/>
              <w:left w:val="single" w:sz="8" w:space="0" w:color="auto"/>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Q4 2015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0.75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1.05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1.35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2.85</w:t>
            </w:r>
          </w:p>
        </w:tc>
      </w:tr>
      <w:tr w:rsidR="009D726B" w:rsidRPr="009D726B" w:rsidTr="00B37B14">
        <w:trPr>
          <w:trHeight w:val="311"/>
        </w:trPr>
        <w:tc>
          <w:tcPr>
            <w:tcW w:w="1775" w:type="dxa"/>
            <w:tcBorders>
              <w:top w:val="nil"/>
              <w:left w:val="single" w:sz="8" w:space="0" w:color="auto"/>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Q1 2016</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1.00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1.20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1.50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2.95</w:t>
            </w:r>
          </w:p>
        </w:tc>
      </w:tr>
      <w:tr w:rsidR="009D726B" w:rsidRPr="009D726B" w:rsidTr="00B37B14">
        <w:trPr>
          <w:trHeight w:val="311"/>
        </w:trPr>
        <w:tc>
          <w:tcPr>
            <w:tcW w:w="1775" w:type="dxa"/>
            <w:tcBorders>
              <w:top w:val="nil"/>
              <w:left w:val="single" w:sz="8" w:space="0" w:color="auto"/>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Q2 2016</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1.00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1.35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1.65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3.00</w:t>
            </w:r>
          </w:p>
        </w:tc>
      </w:tr>
      <w:tr w:rsidR="009D726B" w:rsidRPr="009D726B" w:rsidTr="00B37B14">
        <w:trPr>
          <w:trHeight w:val="311"/>
        </w:trPr>
        <w:tc>
          <w:tcPr>
            <w:tcW w:w="1775" w:type="dxa"/>
            <w:tcBorders>
              <w:top w:val="nil"/>
              <w:left w:val="single" w:sz="8" w:space="0" w:color="auto"/>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Q3 2016</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1.25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1.50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1.80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3.05</w:t>
            </w:r>
          </w:p>
        </w:tc>
      </w:tr>
      <w:tr w:rsidR="009D726B" w:rsidRPr="009D726B" w:rsidTr="00B37B14">
        <w:trPr>
          <w:trHeight w:val="311"/>
        </w:trPr>
        <w:tc>
          <w:tcPr>
            <w:tcW w:w="1775" w:type="dxa"/>
            <w:tcBorders>
              <w:top w:val="nil"/>
              <w:left w:val="single" w:sz="8" w:space="0" w:color="auto"/>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Q4 2016</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1.25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1.60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1.95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3.10</w:t>
            </w:r>
          </w:p>
        </w:tc>
      </w:tr>
      <w:tr w:rsidR="009D726B" w:rsidRPr="009D726B" w:rsidTr="00B37B14">
        <w:trPr>
          <w:trHeight w:val="311"/>
        </w:trPr>
        <w:tc>
          <w:tcPr>
            <w:tcW w:w="1775" w:type="dxa"/>
            <w:tcBorders>
              <w:top w:val="nil"/>
              <w:left w:val="single" w:sz="8" w:space="0" w:color="auto"/>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Q1 2017</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1.50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1.70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2.10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3.15</w:t>
            </w:r>
          </w:p>
        </w:tc>
      </w:tr>
      <w:tr w:rsidR="009D726B" w:rsidRPr="009D726B" w:rsidTr="00B37B14">
        <w:trPr>
          <w:trHeight w:val="311"/>
        </w:trPr>
        <w:tc>
          <w:tcPr>
            <w:tcW w:w="1775" w:type="dxa"/>
            <w:tcBorders>
              <w:top w:val="nil"/>
              <w:left w:val="single" w:sz="8" w:space="0" w:color="auto"/>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lastRenderedPageBreak/>
              <w:t>Q2 2017</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1.50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1.80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2.20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3.20</w:t>
            </w:r>
          </w:p>
        </w:tc>
      </w:tr>
      <w:tr w:rsidR="009D726B" w:rsidRPr="009D726B" w:rsidTr="00B37B14">
        <w:trPr>
          <w:trHeight w:val="311"/>
        </w:trPr>
        <w:tc>
          <w:tcPr>
            <w:tcW w:w="1775" w:type="dxa"/>
            <w:tcBorders>
              <w:top w:val="nil"/>
              <w:left w:val="single" w:sz="8" w:space="0" w:color="auto"/>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Q3 2017</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1.75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1.90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2.30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3.25</w:t>
            </w:r>
          </w:p>
        </w:tc>
      </w:tr>
      <w:tr w:rsidR="009D726B" w:rsidRPr="009D726B" w:rsidTr="00B37B14">
        <w:trPr>
          <w:trHeight w:val="311"/>
        </w:trPr>
        <w:tc>
          <w:tcPr>
            <w:tcW w:w="1775" w:type="dxa"/>
            <w:tcBorders>
              <w:top w:val="nil"/>
              <w:left w:val="single" w:sz="8" w:space="0" w:color="auto"/>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Q4 2017</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1.75</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2.00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2.40</w:t>
            </w:r>
          </w:p>
        </w:tc>
        <w:tc>
          <w:tcPr>
            <w:tcW w:w="1352" w:type="dxa"/>
            <w:tcBorders>
              <w:top w:val="nil"/>
              <w:left w:val="nil"/>
              <w:bottom w:val="nil"/>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3.30</w:t>
            </w:r>
          </w:p>
        </w:tc>
      </w:tr>
      <w:tr w:rsidR="009D726B" w:rsidRPr="009D726B" w:rsidTr="00B37B14">
        <w:trPr>
          <w:trHeight w:val="326"/>
        </w:trPr>
        <w:tc>
          <w:tcPr>
            <w:tcW w:w="1775" w:type="dxa"/>
            <w:tcBorders>
              <w:top w:val="nil"/>
              <w:left w:val="single" w:sz="8" w:space="0" w:color="auto"/>
              <w:bottom w:val="single" w:sz="8" w:space="0" w:color="auto"/>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Q1 2018</w:t>
            </w:r>
          </w:p>
        </w:tc>
        <w:tc>
          <w:tcPr>
            <w:tcW w:w="1352" w:type="dxa"/>
            <w:tcBorders>
              <w:top w:val="nil"/>
              <w:left w:val="nil"/>
              <w:bottom w:val="single" w:sz="8" w:space="0" w:color="auto"/>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1.75</w:t>
            </w:r>
          </w:p>
        </w:tc>
        <w:tc>
          <w:tcPr>
            <w:tcW w:w="1352" w:type="dxa"/>
            <w:tcBorders>
              <w:top w:val="nil"/>
              <w:left w:val="nil"/>
              <w:bottom w:val="single" w:sz="8" w:space="0" w:color="auto"/>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2.10</w:t>
            </w:r>
          </w:p>
        </w:tc>
        <w:tc>
          <w:tcPr>
            <w:tcW w:w="1352" w:type="dxa"/>
            <w:tcBorders>
              <w:top w:val="nil"/>
              <w:left w:val="nil"/>
              <w:bottom w:val="single" w:sz="8" w:space="0" w:color="auto"/>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2.50</w:t>
            </w:r>
          </w:p>
        </w:tc>
        <w:tc>
          <w:tcPr>
            <w:tcW w:w="1352" w:type="dxa"/>
            <w:tcBorders>
              <w:top w:val="nil"/>
              <w:left w:val="nil"/>
              <w:bottom w:val="single" w:sz="8" w:space="0" w:color="auto"/>
              <w:right w:val="single" w:sz="8" w:space="0" w:color="auto"/>
            </w:tcBorders>
            <w:shd w:val="clear" w:color="000000" w:fill="FFFFFF"/>
            <w:noWrap/>
            <w:vAlign w:val="center"/>
            <w:hideMark/>
          </w:tcPr>
          <w:p w:rsidR="009D726B" w:rsidRPr="009D726B" w:rsidRDefault="009D726B" w:rsidP="009D726B">
            <w:pPr>
              <w:jc w:val="center"/>
              <w:rPr>
                <w:rFonts w:cs="Arial"/>
                <w:color w:val="000000"/>
                <w:szCs w:val="24"/>
              </w:rPr>
            </w:pPr>
            <w:r w:rsidRPr="009D726B">
              <w:rPr>
                <w:rFonts w:cs="Arial"/>
                <w:color w:val="000000"/>
                <w:szCs w:val="24"/>
              </w:rPr>
              <w:t>3.30</w:t>
            </w:r>
          </w:p>
        </w:tc>
      </w:tr>
    </w:tbl>
    <w:p w:rsidR="009D726B" w:rsidRDefault="009D726B" w:rsidP="00257EF6">
      <w:pPr>
        <w:pStyle w:val="ListParagraph"/>
        <w:ind w:left="0"/>
        <w:rPr>
          <w:b/>
          <w:szCs w:val="24"/>
          <w:highlight w:val="yellow"/>
        </w:rPr>
      </w:pPr>
    </w:p>
    <w:p w:rsidR="004F52C8" w:rsidRDefault="004F52C8" w:rsidP="00257EF6">
      <w:pPr>
        <w:pStyle w:val="ListParagraph"/>
        <w:ind w:left="0"/>
        <w:rPr>
          <w:b/>
          <w:szCs w:val="24"/>
          <w:highlight w:val="yellow"/>
        </w:rPr>
      </w:pPr>
    </w:p>
    <w:p w:rsidR="004F52C8" w:rsidRDefault="004F52C8" w:rsidP="00257EF6">
      <w:pPr>
        <w:pStyle w:val="ListParagraph"/>
        <w:ind w:left="0"/>
        <w:rPr>
          <w:b/>
          <w:szCs w:val="24"/>
          <w:highlight w:val="yellow"/>
        </w:rPr>
      </w:pPr>
    </w:p>
    <w:p w:rsidR="004F52C8" w:rsidRDefault="004F52C8" w:rsidP="00257EF6">
      <w:pPr>
        <w:pStyle w:val="ListParagraph"/>
        <w:ind w:left="0"/>
        <w:rPr>
          <w:b/>
          <w:szCs w:val="24"/>
          <w:highlight w:val="yellow"/>
        </w:rPr>
      </w:pPr>
    </w:p>
    <w:p w:rsidR="009D726B" w:rsidRDefault="004F52C8" w:rsidP="004F52C8">
      <w:pPr>
        <w:pStyle w:val="ListParagraph"/>
        <w:numPr>
          <w:ilvl w:val="1"/>
          <w:numId w:val="13"/>
        </w:numPr>
        <w:rPr>
          <w:b/>
          <w:szCs w:val="24"/>
        </w:rPr>
      </w:pPr>
      <w:r>
        <w:rPr>
          <w:b/>
          <w:szCs w:val="24"/>
        </w:rPr>
        <w:t>Implications for Lancashire County Council Treasury Strategy</w:t>
      </w:r>
    </w:p>
    <w:p w:rsidR="004F52C8" w:rsidRDefault="004F52C8" w:rsidP="004F52C8">
      <w:pPr>
        <w:pStyle w:val="ListParagraph"/>
        <w:ind w:left="405"/>
        <w:rPr>
          <w:b/>
          <w:szCs w:val="24"/>
        </w:rPr>
      </w:pPr>
    </w:p>
    <w:p w:rsidR="00C36F0F" w:rsidRDefault="004F52C8" w:rsidP="00C36F0F">
      <w:pPr>
        <w:pStyle w:val="ListParagraph"/>
        <w:spacing w:after="0" w:line="240" w:lineRule="auto"/>
        <w:ind w:left="0"/>
        <w:jc w:val="both"/>
        <w:rPr>
          <w:szCs w:val="24"/>
        </w:rPr>
      </w:pPr>
      <w:r w:rsidRPr="004F52C8">
        <w:rPr>
          <w:szCs w:val="24"/>
        </w:rPr>
        <w:t>Since 2010</w:t>
      </w:r>
      <w:r>
        <w:rPr>
          <w:szCs w:val="24"/>
        </w:rPr>
        <w:t xml:space="preserve"> the County Council have used short term market borrowing to fund past and present capital expenditure so taking advantage of historically low interest rates. </w:t>
      </w:r>
      <w:r w:rsidR="00575736">
        <w:rPr>
          <w:szCs w:val="24"/>
        </w:rPr>
        <w:t xml:space="preserve">This policy has proved to be very effective in an environment where rates have stayed low for much longer than expected and continues to do so. </w:t>
      </w:r>
      <w:r>
        <w:rPr>
          <w:szCs w:val="24"/>
        </w:rPr>
        <w:t xml:space="preserve">Prospects for interest rate increases are continuously monitored and </w:t>
      </w:r>
      <w:r w:rsidR="00C36F0F">
        <w:rPr>
          <w:szCs w:val="24"/>
        </w:rPr>
        <w:t xml:space="preserve">flexible </w:t>
      </w:r>
      <w:r w:rsidR="00DF2986">
        <w:rPr>
          <w:szCs w:val="24"/>
        </w:rPr>
        <w:t>arrangements are maintained to</w:t>
      </w:r>
      <w:r w:rsidR="00C36F0F">
        <w:rPr>
          <w:szCs w:val="24"/>
        </w:rPr>
        <w:t xml:space="preserve"> </w:t>
      </w:r>
      <w:r w:rsidR="00575736">
        <w:rPr>
          <w:szCs w:val="24"/>
        </w:rPr>
        <w:t xml:space="preserve">enable the Council to </w:t>
      </w:r>
      <w:r w:rsidR="00C36F0F">
        <w:rPr>
          <w:szCs w:val="24"/>
        </w:rPr>
        <w:t>react in good time should the path of interest rate forecasts change.</w:t>
      </w:r>
    </w:p>
    <w:p w:rsidR="00C36F0F" w:rsidRDefault="00C36F0F" w:rsidP="004F52C8">
      <w:pPr>
        <w:pStyle w:val="ListParagraph"/>
        <w:ind w:left="405"/>
        <w:rPr>
          <w:szCs w:val="24"/>
        </w:rPr>
      </w:pPr>
    </w:p>
    <w:p w:rsidR="00531429" w:rsidRDefault="00531429" w:rsidP="00531429">
      <w:pPr>
        <w:pStyle w:val="ListParagraph"/>
        <w:numPr>
          <w:ilvl w:val="0"/>
          <w:numId w:val="13"/>
        </w:numPr>
        <w:rPr>
          <w:b/>
          <w:szCs w:val="24"/>
        </w:rPr>
      </w:pPr>
      <w:r w:rsidRPr="00531429">
        <w:rPr>
          <w:b/>
          <w:szCs w:val="24"/>
        </w:rPr>
        <w:t>Current Issues</w:t>
      </w:r>
    </w:p>
    <w:p w:rsidR="00531429" w:rsidRDefault="00DE4795" w:rsidP="00531429">
      <w:pPr>
        <w:rPr>
          <w:b/>
          <w:szCs w:val="24"/>
        </w:rPr>
      </w:pPr>
      <w:r>
        <w:rPr>
          <w:b/>
          <w:szCs w:val="24"/>
        </w:rPr>
        <w:t>3.1</w:t>
      </w:r>
      <w:r>
        <w:rPr>
          <w:b/>
          <w:szCs w:val="24"/>
        </w:rPr>
        <w:tab/>
      </w:r>
      <w:r w:rsidR="00531429">
        <w:rPr>
          <w:b/>
          <w:szCs w:val="24"/>
        </w:rPr>
        <w:t>Bank 'bail-in' legislation</w:t>
      </w:r>
    </w:p>
    <w:p w:rsidR="00531429" w:rsidRPr="00531429" w:rsidRDefault="00531429" w:rsidP="00531429">
      <w:pPr>
        <w:rPr>
          <w:b/>
          <w:szCs w:val="24"/>
        </w:rPr>
      </w:pPr>
    </w:p>
    <w:p w:rsidR="00D4145C" w:rsidRDefault="00C36F0F" w:rsidP="00C36F0F">
      <w:pPr>
        <w:jc w:val="both"/>
      </w:pPr>
      <w:r w:rsidRPr="00650C2F">
        <w:t xml:space="preserve">The European </w:t>
      </w:r>
      <w:r w:rsidR="000D4118" w:rsidRPr="00650C2F">
        <w:t>Bank Recovery and Resolution Directive</w:t>
      </w:r>
      <w:r w:rsidR="000D4118">
        <w:t xml:space="preserve"> which becomes UK law in July 2015 is an important consideration for the County Council's current and future investment policy.</w:t>
      </w:r>
      <w:r w:rsidR="008C1843">
        <w:t xml:space="preserve"> This legislation brings into la</w:t>
      </w:r>
      <w:r w:rsidR="00575736">
        <w:t>w</w:t>
      </w:r>
      <w:r w:rsidR="008C1843">
        <w:t xml:space="preserve"> 'bail-in' </w:t>
      </w:r>
      <w:r w:rsidR="00575736">
        <w:t xml:space="preserve">arrangements whereby the first port of call to fund a failing bank will be investors rather than the taxpayer. </w:t>
      </w:r>
    </w:p>
    <w:p w:rsidR="00DE4795" w:rsidRDefault="00DE4795" w:rsidP="00C36F0F">
      <w:pPr>
        <w:jc w:val="both"/>
      </w:pPr>
    </w:p>
    <w:p w:rsidR="00D4145C" w:rsidRDefault="00D4145C" w:rsidP="00C36F0F">
      <w:pPr>
        <w:jc w:val="both"/>
      </w:pPr>
      <w:r>
        <w:t>Although the legislation does not, in itself, increase the risk of a bank default, it does increase the County Council's credit risk, because t</w:t>
      </w:r>
      <w:r w:rsidR="000D4118">
        <w:t xml:space="preserve">he effect of the legislation is to </w:t>
      </w:r>
      <w:r w:rsidR="00C36F0F" w:rsidRPr="00650C2F">
        <w:t>place the burden of rescuing failing EU banks disproportionately onto unsecured local authority investors.</w:t>
      </w:r>
      <w:r w:rsidR="008C1843">
        <w:t xml:space="preserve"> </w:t>
      </w:r>
      <w:r w:rsidR="00160105">
        <w:t>Whereas individuals and companies</w:t>
      </w:r>
      <w:r>
        <w:t xml:space="preserve"> (small and large)</w:t>
      </w:r>
      <w:r w:rsidR="00160105">
        <w:t xml:space="preserve"> have some protection through compensation and deposit guarantee schemes, there are no </w:t>
      </w:r>
      <w:r w:rsidR="00BF6983">
        <w:t xml:space="preserve">such </w:t>
      </w:r>
      <w:r w:rsidR="00160105">
        <w:t>protections</w:t>
      </w:r>
      <w:r w:rsidR="00BF6983">
        <w:t xml:space="preserve"> for public authorities.</w:t>
      </w:r>
      <w:r>
        <w:t xml:space="preserve"> </w:t>
      </w:r>
    </w:p>
    <w:p w:rsidR="00575736" w:rsidRDefault="00575736" w:rsidP="00C36F0F">
      <w:pPr>
        <w:jc w:val="both"/>
      </w:pPr>
    </w:p>
    <w:p w:rsidR="00160105" w:rsidRDefault="00BF6983" w:rsidP="00C36F0F">
      <w:pPr>
        <w:jc w:val="both"/>
      </w:pPr>
      <w:r>
        <w:t xml:space="preserve">In effect this </w:t>
      </w:r>
      <w:r w:rsidR="00DE4795">
        <w:t>increases the risks associated with</w:t>
      </w:r>
      <w:r>
        <w:t xml:space="preserve"> fixed unsecured deposits </w:t>
      </w:r>
      <w:r w:rsidR="00DE4795">
        <w:t xml:space="preserve">beyond the point where they are </w:t>
      </w:r>
      <w:r>
        <w:t xml:space="preserve">a suitable investment vehicle for the County Council's reserves and balances. The current treasury management investment policy </w:t>
      </w:r>
      <w:r w:rsidR="00D4145C">
        <w:t xml:space="preserve">and active treasury management strategy </w:t>
      </w:r>
      <w:r>
        <w:t xml:space="preserve">already provides </w:t>
      </w:r>
      <w:r w:rsidR="00D4145C">
        <w:t xml:space="preserve">for the replacement of fixed deposit investments with other lower </w:t>
      </w:r>
      <w:r>
        <w:t xml:space="preserve">risk </w:t>
      </w:r>
      <w:r w:rsidR="00DE4795">
        <w:t xml:space="preserve">investment </w:t>
      </w:r>
      <w:r w:rsidR="00D4145C">
        <w:t xml:space="preserve">options, </w:t>
      </w:r>
      <w:r w:rsidR="008C1843">
        <w:t>primarily through exposure to UK Government credit</w:t>
      </w:r>
      <w:r w:rsidR="00DE4795">
        <w:t>,</w:t>
      </w:r>
      <w:r w:rsidR="008C1843">
        <w:t xml:space="preserve"> through Gilt markets and through covered bonds which are specifically exempt from the bail-in </w:t>
      </w:r>
      <w:r w:rsidR="00575736">
        <w:t>legislation.</w:t>
      </w:r>
    </w:p>
    <w:p w:rsidR="005D3268" w:rsidRDefault="005D3268" w:rsidP="00C36F0F">
      <w:pPr>
        <w:jc w:val="both"/>
      </w:pPr>
    </w:p>
    <w:p w:rsidR="00160105" w:rsidRDefault="00160105" w:rsidP="00C36F0F">
      <w:pPr>
        <w:jc w:val="both"/>
      </w:pPr>
    </w:p>
    <w:p w:rsidR="00531429" w:rsidRDefault="00DE4795" w:rsidP="00C36F0F">
      <w:pPr>
        <w:jc w:val="both"/>
        <w:rPr>
          <w:b/>
        </w:rPr>
      </w:pPr>
      <w:r>
        <w:rPr>
          <w:b/>
        </w:rPr>
        <w:t>3.2</w:t>
      </w:r>
      <w:r>
        <w:rPr>
          <w:b/>
        </w:rPr>
        <w:tab/>
      </w:r>
      <w:r w:rsidR="00811F59">
        <w:rPr>
          <w:b/>
        </w:rPr>
        <w:t>Liquidity Management Trades (</w:t>
      </w:r>
      <w:r w:rsidR="00B843B3">
        <w:rPr>
          <w:b/>
        </w:rPr>
        <w:t>Sell/Buy Back and Buy/Sell Back</w:t>
      </w:r>
      <w:r w:rsidR="00531429" w:rsidRPr="00531429">
        <w:rPr>
          <w:b/>
        </w:rPr>
        <w:t xml:space="preserve"> Transactions.</w:t>
      </w:r>
      <w:r w:rsidR="00811F59">
        <w:rPr>
          <w:b/>
        </w:rPr>
        <w:t>)</w:t>
      </w:r>
    </w:p>
    <w:p w:rsidR="00531429" w:rsidRDefault="00531429" w:rsidP="00C36F0F">
      <w:pPr>
        <w:jc w:val="both"/>
        <w:rPr>
          <w:b/>
        </w:rPr>
      </w:pPr>
    </w:p>
    <w:p w:rsidR="00531429" w:rsidRDefault="00531429" w:rsidP="00C36F0F">
      <w:pPr>
        <w:jc w:val="both"/>
      </w:pPr>
      <w:r w:rsidRPr="00531429">
        <w:t xml:space="preserve">After security, liquidity is the most important objective of </w:t>
      </w:r>
      <w:r>
        <w:t>the County Council's treasury management strategy.</w:t>
      </w:r>
      <w:r w:rsidR="00DE4795">
        <w:t xml:space="preserve"> Liquidity is essentially the Council's access to cash.</w:t>
      </w:r>
    </w:p>
    <w:p w:rsidR="00DE4795" w:rsidRDefault="00DE4795" w:rsidP="00C36F0F">
      <w:pPr>
        <w:jc w:val="both"/>
        <w:rPr>
          <w:b/>
        </w:rPr>
      </w:pPr>
    </w:p>
    <w:p w:rsidR="0043301B" w:rsidRDefault="00531429" w:rsidP="00C36F0F">
      <w:pPr>
        <w:jc w:val="both"/>
      </w:pPr>
      <w:r>
        <w:lastRenderedPageBreak/>
        <w:t>In the past daily liquidity has been achieved through the use of bank call accounts, primarily the Special Interest Bearing account provided by the County Council's bankers Nat West (part of the Royal Bank of Scotland)</w:t>
      </w:r>
      <w:r w:rsidR="00DE4795">
        <w:t xml:space="preserve">. </w:t>
      </w:r>
      <w:r>
        <w:t xml:space="preserve">However the bank bail-in legislation means that holding large amounts of cash </w:t>
      </w:r>
      <w:r w:rsidR="00743BE0">
        <w:t>with RBS exposes the County Council to an increased level of credit risk.</w:t>
      </w:r>
      <w:r w:rsidR="00DE4795">
        <w:t xml:space="preserve"> If RBS was to default with the Council's funds within the call account, the Council's funds would be at risk as set out above in section 3.1.</w:t>
      </w:r>
    </w:p>
    <w:p w:rsidR="00DE4795" w:rsidRDefault="00DE4795" w:rsidP="00C36F0F">
      <w:pPr>
        <w:jc w:val="both"/>
      </w:pPr>
    </w:p>
    <w:p w:rsidR="00531429" w:rsidRDefault="0043301B" w:rsidP="00C36F0F">
      <w:pPr>
        <w:jc w:val="both"/>
      </w:pPr>
      <w:r>
        <w:t xml:space="preserve">The current treasury management policy allows for the use of the County Council's high quality securities </w:t>
      </w:r>
      <w:r w:rsidR="00B843B3">
        <w:t xml:space="preserve">to be used in sell/buy back transactions, whereby securities are sold to a bank counterparty </w:t>
      </w:r>
      <w:r w:rsidR="00B843B3" w:rsidRPr="00BB156A">
        <w:t xml:space="preserve">and </w:t>
      </w:r>
      <w:r w:rsidR="00B843B3" w:rsidRPr="00BF2958">
        <w:t xml:space="preserve">simultaneously </w:t>
      </w:r>
      <w:r w:rsidR="009F594E" w:rsidRPr="00BF2958">
        <w:t xml:space="preserve">an </w:t>
      </w:r>
      <w:r w:rsidR="00B843B3" w:rsidRPr="00BF2958">
        <w:t>additional trade</w:t>
      </w:r>
      <w:r w:rsidR="00B843B3">
        <w:t xml:space="preserve"> is agreed to buy the securities back at an agreed price on a future date. This effect of this trade is to borrow short term cash for liquidity purposes at a rate of interest implied by the difference between the selling and buying price of </w:t>
      </w:r>
      <w:r w:rsidR="00B843B3" w:rsidRPr="00BB156A">
        <w:t>t</w:t>
      </w:r>
      <w:r w:rsidR="00B843B3">
        <w:t>he securities.</w:t>
      </w:r>
    </w:p>
    <w:p w:rsidR="00DE4795" w:rsidRDefault="00DE4795" w:rsidP="00C36F0F">
      <w:pPr>
        <w:jc w:val="both"/>
      </w:pPr>
    </w:p>
    <w:p w:rsidR="00531429" w:rsidRPr="00531429" w:rsidRDefault="00B843B3" w:rsidP="00C36F0F">
      <w:pPr>
        <w:jc w:val="both"/>
      </w:pPr>
      <w:r>
        <w:t>A reverse of this trade can also be used to invest cash overnight or over a weekend</w:t>
      </w:r>
      <w:r w:rsidR="009F594E">
        <w:t>,</w:t>
      </w:r>
      <w:r>
        <w:t xml:space="preserve"> again using UK Government securities</w:t>
      </w:r>
      <w:r w:rsidR="00E025AC">
        <w:t>.</w:t>
      </w:r>
      <w:r w:rsidR="00E025AC" w:rsidRPr="00E025AC">
        <w:t xml:space="preserve"> </w:t>
      </w:r>
      <w:r w:rsidR="00E025AC">
        <w:t xml:space="preserve">These transactions have been successfully used during the year to invest cash </w:t>
      </w:r>
      <w:r>
        <w:t>so maintaining liquidity and reducing bank credit risk exposure.</w:t>
      </w:r>
      <w:r w:rsidR="00E025AC">
        <w:t xml:space="preserve"> The current interest rate for these transactions is currently around 0.47% which is competitive with call account and money market fund rates</w:t>
      </w:r>
      <w:r w:rsidR="00D30FC6">
        <w:t xml:space="preserve"> therefore not exposing the Council to further costs.</w:t>
      </w:r>
    </w:p>
    <w:p w:rsidR="005D3268" w:rsidRPr="008D5E4D" w:rsidRDefault="005D3268" w:rsidP="008D5E4D">
      <w:pPr>
        <w:rPr>
          <w:szCs w:val="24"/>
        </w:rPr>
      </w:pPr>
    </w:p>
    <w:p w:rsidR="00A732FD" w:rsidRDefault="00A732FD" w:rsidP="00DE4795">
      <w:pPr>
        <w:pStyle w:val="ListParagraph"/>
        <w:numPr>
          <w:ilvl w:val="0"/>
          <w:numId w:val="13"/>
        </w:numPr>
        <w:ind w:left="0"/>
        <w:rPr>
          <w:b/>
          <w:szCs w:val="24"/>
        </w:rPr>
      </w:pPr>
      <w:r w:rsidRPr="005D3268">
        <w:rPr>
          <w:b/>
          <w:szCs w:val="24"/>
        </w:rPr>
        <w:t>Current Treasury</w:t>
      </w:r>
      <w:r w:rsidR="00180500" w:rsidRPr="005D3268">
        <w:rPr>
          <w:b/>
          <w:szCs w:val="24"/>
        </w:rPr>
        <w:t xml:space="preserve"> Management</w:t>
      </w:r>
      <w:r w:rsidRPr="005D3268">
        <w:rPr>
          <w:b/>
          <w:szCs w:val="24"/>
        </w:rPr>
        <w:t xml:space="preserve"> Policy</w:t>
      </w:r>
    </w:p>
    <w:p w:rsidR="005D3268" w:rsidRPr="005D3268" w:rsidRDefault="005D3268" w:rsidP="005D3268">
      <w:pPr>
        <w:pStyle w:val="ListParagraph"/>
        <w:ind w:left="0"/>
        <w:rPr>
          <w:b/>
          <w:szCs w:val="24"/>
        </w:rPr>
      </w:pPr>
    </w:p>
    <w:p w:rsidR="00A70459" w:rsidRPr="009D726B" w:rsidRDefault="00DC602A" w:rsidP="005D3268">
      <w:pPr>
        <w:jc w:val="both"/>
        <w:rPr>
          <w:szCs w:val="24"/>
          <w:lang w:eastAsia="en-US"/>
        </w:rPr>
      </w:pPr>
      <w:r w:rsidRPr="009D726B">
        <w:rPr>
          <w:szCs w:val="24"/>
        </w:rPr>
        <w:t>Full Council approved the 2014/15</w:t>
      </w:r>
      <w:r w:rsidR="00A70459" w:rsidRPr="009D726B">
        <w:rPr>
          <w:szCs w:val="24"/>
        </w:rPr>
        <w:t xml:space="preserve"> treasury management strategy at its meeting on </w:t>
      </w:r>
      <w:r w:rsidRPr="009D726B">
        <w:rPr>
          <w:szCs w:val="24"/>
          <w:lang w:eastAsia="en-US"/>
        </w:rPr>
        <w:t>27</w:t>
      </w:r>
      <w:r w:rsidR="00A70459" w:rsidRPr="009D726B">
        <w:rPr>
          <w:szCs w:val="24"/>
          <w:vertAlign w:val="superscript"/>
          <w:lang w:eastAsia="en-US"/>
        </w:rPr>
        <w:t>th</w:t>
      </w:r>
      <w:r w:rsidR="00A70459" w:rsidRPr="009D726B">
        <w:rPr>
          <w:b/>
          <w:i/>
          <w:color w:val="FF0000"/>
          <w:szCs w:val="24"/>
          <w:lang w:eastAsia="en-US"/>
        </w:rPr>
        <w:t xml:space="preserve"> </w:t>
      </w:r>
      <w:r w:rsidR="00A70459" w:rsidRPr="009D726B">
        <w:rPr>
          <w:szCs w:val="24"/>
          <w:lang w:eastAsia="en-US"/>
        </w:rPr>
        <w:t>February 201</w:t>
      </w:r>
      <w:r w:rsidRPr="009D726B">
        <w:rPr>
          <w:szCs w:val="24"/>
          <w:lang w:eastAsia="en-US"/>
        </w:rPr>
        <w:t>4</w:t>
      </w:r>
      <w:r w:rsidR="00A70459" w:rsidRPr="009D726B">
        <w:rPr>
          <w:szCs w:val="24"/>
          <w:lang w:eastAsia="en-US"/>
        </w:rPr>
        <w:t xml:space="preserve">.  The Council’s stated investment priorities </w:t>
      </w:r>
      <w:r w:rsidR="00D30FC6">
        <w:rPr>
          <w:szCs w:val="24"/>
          <w:lang w:eastAsia="en-US"/>
        </w:rPr>
        <w:t>are</w:t>
      </w:r>
      <w:r w:rsidR="00A70459" w:rsidRPr="009D726B">
        <w:rPr>
          <w:szCs w:val="24"/>
          <w:lang w:eastAsia="en-US"/>
        </w:rPr>
        <w:t>:</w:t>
      </w:r>
    </w:p>
    <w:p w:rsidR="00A70459" w:rsidRPr="009D726B" w:rsidRDefault="00A70459" w:rsidP="005D3268">
      <w:pPr>
        <w:jc w:val="both"/>
        <w:rPr>
          <w:szCs w:val="24"/>
          <w:lang w:eastAsia="en-US"/>
        </w:rPr>
      </w:pPr>
    </w:p>
    <w:p w:rsidR="00A70459" w:rsidRPr="009D726B" w:rsidRDefault="00A70459" w:rsidP="005D3268">
      <w:pPr>
        <w:spacing w:before="45" w:after="45"/>
        <w:jc w:val="both"/>
        <w:rPr>
          <w:rFonts w:cs="Arial"/>
          <w:szCs w:val="24"/>
        </w:rPr>
      </w:pPr>
      <w:r w:rsidRPr="009D726B">
        <w:rPr>
          <w:rFonts w:cs="Arial"/>
          <w:szCs w:val="24"/>
        </w:rPr>
        <w:t>(a)</w:t>
      </w:r>
      <w:r w:rsidRPr="009D726B">
        <w:rPr>
          <w:rFonts w:cs="Arial"/>
          <w:szCs w:val="24"/>
        </w:rPr>
        <w:tab/>
        <w:t xml:space="preserve">Security of capital and </w:t>
      </w:r>
    </w:p>
    <w:p w:rsidR="00A70459" w:rsidRPr="009D726B" w:rsidRDefault="00A70459" w:rsidP="005D3268">
      <w:pPr>
        <w:spacing w:before="45" w:after="45"/>
        <w:jc w:val="both"/>
        <w:rPr>
          <w:rFonts w:cs="Arial"/>
          <w:szCs w:val="24"/>
        </w:rPr>
      </w:pPr>
      <w:r w:rsidRPr="009D726B">
        <w:rPr>
          <w:rFonts w:cs="Arial"/>
          <w:szCs w:val="24"/>
        </w:rPr>
        <w:t>(b)</w:t>
      </w:r>
      <w:r w:rsidRPr="009D726B">
        <w:rPr>
          <w:rFonts w:cs="Arial"/>
          <w:szCs w:val="24"/>
        </w:rPr>
        <w:tab/>
        <w:t xml:space="preserve">Liquidity of its investments. </w:t>
      </w:r>
    </w:p>
    <w:p w:rsidR="00A70459" w:rsidRPr="009D726B" w:rsidRDefault="00A70459" w:rsidP="005D3268">
      <w:pPr>
        <w:jc w:val="both"/>
        <w:rPr>
          <w:rFonts w:cs="Arial"/>
          <w:szCs w:val="24"/>
        </w:rPr>
      </w:pPr>
    </w:p>
    <w:p w:rsidR="00A70459" w:rsidRPr="006B6339" w:rsidRDefault="00A70459" w:rsidP="005D3268">
      <w:pPr>
        <w:jc w:val="both"/>
        <w:rPr>
          <w:szCs w:val="24"/>
          <w:lang w:eastAsia="en-US"/>
        </w:rPr>
      </w:pPr>
      <w:r w:rsidRPr="009D726B">
        <w:rPr>
          <w:rFonts w:cs="Arial"/>
          <w:szCs w:val="24"/>
        </w:rPr>
        <w:t>The Council also aim</w:t>
      </w:r>
      <w:r w:rsidR="00D30FC6">
        <w:rPr>
          <w:rFonts w:cs="Arial"/>
          <w:szCs w:val="24"/>
        </w:rPr>
        <w:t>s</w:t>
      </w:r>
      <w:r w:rsidRPr="009D726B">
        <w:rPr>
          <w:rFonts w:cs="Arial"/>
          <w:szCs w:val="24"/>
        </w:rPr>
        <w:t xml:space="preserve"> to achieve the optimum return on its investments commensurate with proper levels of security and liquidity. The risk appetite of the Council is low in order to give priority to security of its investments.</w:t>
      </w:r>
      <w:r w:rsidRPr="006B6339">
        <w:rPr>
          <w:rFonts w:cs="Arial"/>
          <w:szCs w:val="24"/>
        </w:rPr>
        <w:t xml:space="preserve">  </w:t>
      </w:r>
    </w:p>
    <w:p w:rsidR="00A70459" w:rsidRPr="006B6339" w:rsidRDefault="00A70459" w:rsidP="005D3268">
      <w:pPr>
        <w:jc w:val="both"/>
        <w:rPr>
          <w:szCs w:val="24"/>
          <w:lang w:eastAsia="en-US"/>
        </w:rPr>
      </w:pPr>
    </w:p>
    <w:p w:rsidR="00A70459" w:rsidRPr="00B37B14" w:rsidRDefault="00A70459" w:rsidP="005D3268">
      <w:pPr>
        <w:jc w:val="both"/>
        <w:rPr>
          <w:szCs w:val="24"/>
          <w:lang w:eastAsia="en-US"/>
        </w:rPr>
      </w:pPr>
      <w:r w:rsidRPr="00B37B14">
        <w:rPr>
          <w:szCs w:val="24"/>
          <w:lang w:eastAsia="en-US"/>
        </w:rPr>
        <w:t xml:space="preserve">The Council’s stated borrowing strategy </w:t>
      </w:r>
      <w:r w:rsidR="00D30FC6">
        <w:rPr>
          <w:szCs w:val="24"/>
          <w:lang w:eastAsia="en-US"/>
        </w:rPr>
        <w:t>is</w:t>
      </w:r>
      <w:r w:rsidRPr="00B37B14">
        <w:rPr>
          <w:szCs w:val="24"/>
          <w:lang w:eastAsia="en-US"/>
        </w:rPr>
        <w:t xml:space="preserve"> to take advantage of historically low short term interest rates by borrowing short term in the money markets rather than financing capital expenditure through long term Public Works Loan Board (PWLB)</w:t>
      </w:r>
      <w:r w:rsidRPr="00B37B14">
        <w:rPr>
          <w:color w:val="FF0000"/>
          <w:szCs w:val="24"/>
          <w:lang w:eastAsia="en-US"/>
        </w:rPr>
        <w:t xml:space="preserve"> </w:t>
      </w:r>
      <w:r w:rsidRPr="00B37B14">
        <w:rPr>
          <w:szCs w:val="24"/>
          <w:lang w:eastAsia="en-US"/>
        </w:rPr>
        <w:t>loans.</w:t>
      </w:r>
    </w:p>
    <w:p w:rsidR="00A70459" w:rsidRPr="00B37B14" w:rsidRDefault="00A70459" w:rsidP="005D3268">
      <w:pPr>
        <w:jc w:val="both"/>
        <w:rPr>
          <w:szCs w:val="24"/>
        </w:rPr>
      </w:pPr>
    </w:p>
    <w:p w:rsidR="00A70459" w:rsidRPr="00B37B14" w:rsidRDefault="00A70459" w:rsidP="005D3268">
      <w:pPr>
        <w:jc w:val="both"/>
        <w:rPr>
          <w:szCs w:val="24"/>
        </w:rPr>
      </w:pPr>
      <w:r w:rsidRPr="00B37B14">
        <w:rPr>
          <w:szCs w:val="24"/>
        </w:rPr>
        <w:t xml:space="preserve">The County Treasurer can report that all treasury management activity undertaken during the financial year </w:t>
      </w:r>
      <w:r w:rsidR="00DB1576">
        <w:rPr>
          <w:szCs w:val="24"/>
        </w:rPr>
        <w:t xml:space="preserve">to date </w:t>
      </w:r>
      <w:r w:rsidRPr="00B37B14">
        <w:rPr>
          <w:szCs w:val="24"/>
        </w:rPr>
        <w:t xml:space="preserve">complied with the </w:t>
      </w:r>
      <w:r w:rsidRPr="00B37B14">
        <w:rPr>
          <w:i/>
          <w:szCs w:val="24"/>
        </w:rPr>
        <w:t>CIPFA Code of Practice</w:t>
      </w:r>
      <w:r w:rsidRPr="00B37B14">
        <w:rPr>
          <w:szCs w:val="24"/>
        </w:rPr>
        <w:t xml:space="preserve"> and the relevant legislative provisions.  </w:t>
      </w:r>
    </w:p>
    <w:p w:rsidR="00A70459" w:rsidRPr="00B37B14" w:rsidRDefault="00A70459" w:rsidP="005D3268">
      <w:pPr>
        <w:pStyle w:val="ListParagraph"/>
        <w:ind w:left="0"/>
        <w:jc w:val="both"/>
        <w:rPr>
          <w:b/>
          <w:szCs w:val="24"/>
        </w:rPr>
      </w:pPr>
    </w:p>
    <w:p w:rsidR="006B2962" w:rsidRPr="00B37B14" w:rsidRDefault="00A732FD" w:rsidP="005D3268">
      <w:pPr>
        <w:pStyle w:val="ListParagraph"/>
        <w:ind w:left="0"/>
        <w:jc w:val="both"/>
        <w:rPr>
          <w:szCs w:val="24"/>
        </w:rPr>
      </w:pPr>
      <w:r w:rsidRPr="00B37B14">
        <w:rPr>
          <w:szCs w:val="24"/>
        </w:rPr>
        <w:t xml:space="preserve">The current borrowing policy of keeping a higher proportion of borrowing at variable rates or short dated maturities is enabling the County Council to take advantage of the very low rates available </w:t>
      </w:r>
      <w:r w:rsidR="00180500" w:rsidRPr="00B37B14">
        <w:rPr>
          <w:szCs w:val="24"/>
        </w:rPr>
        <w:t>on short term borrowing</w:t>
      </w:r>
      <w:r w:rsidRPr="00B37B14">
        <w:rPr>
          <w:szCs w:val="24"/>
        </w:rPr>
        <w:t xml:space="preserve">. </w:t>
      </w:r>
      <w:r w:rsidR="00FB4640" w:rsidRPr="00B37B14">
        <w:rPr>
          <w:szCs w:val="24"/>
        </w:rPr>
        <w:t xml:space="preserve">Rates will be carefully monitored and the proportion of </w:t>
      </w:r>
      <w:r w:rsidR="006B2962" w:rsidRPr="00B37B14">
        <w:rPr>
          <w:szCs w:val="24"/>
        </w:rPr>
        <w:t xml:space="preserve">borrowing held on </w:t>
      </w:r>
      <w:r w:rsidR="00FB4640" w:rsidRPr="00B37B14">
        <w:rPr>
          <w:szCs w:val="24"/>
        </w:rPr>
        <w:t xml:space="preserve">longer term fixed rates will be increased as rates </w:t>
      </w:r>
      <w:r w:rsidR="009848BD" w:rsidRPr="00B37B14">
        <w:rPr>
          <w:szCs w:val="24"/>
        </w:rPr>
        <w:t>are expected</w:t>
      </w:r>
      <w:r w:rsidR="00FB4640" w:rsidRPr="00B37B14">
        <w:rPr>
          <w:szCs w:val="24"/>
        </w:rPr>
        <w:t xml:space="preserve"> to rise. </w:t>
      </w:r>
    </w:p>
    <w:p w:rsidR="009848BD" w:rsidRPr="00B37B14" w:rsidRDefault="009848BD" w:rsidP="005D3268">
      <w:pPr>
        <w:pStyle w:val="ListParagraph"/>
        <w:ind w:left="0"/>
        <w:jc w:val="both"/>
        <w:rPr>
          <w:szCs w:val="24"/>
        </w:rPr>
      </w:pPr>
    </w:p>
    <w:p w:rsidR="00A732FD" w:rsidRPr="00B37B14" w:rsidRDefault="00A732FD" w:rsidP="005D3268">
      <w:pPr>
        <w:pStyle w:val="ListParagraph"/>
        <w:ind w:left="0"/>
        <w:jc w:val="both"/>
        <w:rPr>
          <w:b/>
          <w:szCs w:val="24"/>
        </w:rPr>
      </w:pPr>
      <w:r w:rsidRPr="00575736">
        <w:rPr>
          <w:szCs w:val="24"/>
        </w:rPr>
        <w:lastRenderedPageBreak/>
        <w:t xml:space="preserve">The current investment policy of accessing high credit quality institutions through bond investments as opposed to placing fixed term deposits directly with banks continues to be </w:t>
      </w:r>
      <w:r w:rsidR="006B2962" w:rsidRPr="00575736">
        <w:rPr>
          <w:szCs w:val="24"/>
        </w:rPr>
        <w:t>appropriate</w:t>
      </w:r>
      <w:r w:rsidRPr="00575736">
        <w:rPr>
          <w:szCs w:val="24"/>
        </w:rPr>
        <w:t xml:space="preserve"> given the continued difficult credit environment</w:t>
      </w:r>
      <w:r w:rsidR="00575736" w:rsidRPr="00575736">
        <w:rPr>
          <w:szCs w:val="24"/>
        </w:rPr>
        <w:t xml:space="preserve"> and</w:t>
      </w:r>
      <w:r w:rsidR="00575736">
        <w:rPr>
          <w:szCs w:val="24"/>
        </w:rPr>
        <w:t xml:space="preserve"> forthcoming banking 'bail-in' legislation.</w:t>
      </w:r>
    </w:p>
    <w:p w:rsidR="00A732FD" w:rsidRDefault="00A732FD" w:rsidP="005D3268">
      <w:pPr>
        <w:pStyle w:val="ListParagraph"/>
        <w:ind w:left="0"/>
        <w:jc w:val="both"/>
        <w:rPr>
          <w:b/>
          <w:szCs w:val="24"/>
          <w:highlight w:val="yellow"/>
        </w:rPr>
      </w:pPr>
    </w:p>
    <w:p w:rsidR="0071182D" w:rsidRDefault="00811F59" w:rsidP="00257EF6">
      <w:pPr>
        <w:pStyle w:val="ListParagraph"/>
        <w:ind w:left="0"/>
        <w:rPr>
          <w:b/>
          <w:szCs w:val="24"/>
        </w:rPr>
      </w:pPr>
      <w:r>
        <w:rPr>
          <w:b/>
          <w:szCs w:val="24"/>
        </w:rPr>
        <w:t>4</w:t>
      </w:r>
      <w:r w:rsidR="006B2962" w:rsidRPr="00CA3DA4">
        <w:rPr>
          <w:b/>
          <w:szCs w:val="24"/>
        </w:rPr>
        <w:t>.1</w:t>
      </w:r>
      <w:r w:rsidR="006B2962" w:rsidRPr="00CA3DA4">
        <w:rPr>
          <w:b/>
          <w:szCs w:val="24"/>
        </w:rPr>
        <w:tab/>
      </w:r>
      <w:r w:rsidR="008B31ED" w:rsidRPr="00CA3DA4">
        <w:rPr>
          <w:b/>
          <w:szCs w:val="24"/>
        </w:rPr>
        <w:t>Investment</w:t>
      </w:r>
      <w:r w:rsidR="00B65FA9" w:rsidRPr="00CA3DA4">
        <w:rPr>
          <w:b/>
          <w:szCs w:val="24"/>
        </w:rPr>
        <w:t xml:space="preserve"> Activity</w:t>
      </w:r>
    </w:p>
    <w:p w:rsidR="005D3268" w:rsidRDefault="005D3268" w:rsidP="00257EF6">
      <w:pPr>
        <w:pStyle w:val="ListParagraph"/>
        <w:ind w:left="0"/>
        <w:rPr>
          <w:b/>
          <w:szCs w:val="24"/>
        </w:rPr>
      </w:pPr>
    </w:p>
    <w:p w:rsidR="005D3268" w:rsidRPr="00CA3DA4" w:rsidRDefault="005D3268" w:rsidP="00257EF6">
      <w:pPr>
        <w:pStyle w:val="ListParagraph"/>
        <w:ind w:left="0"/>
        <w:rPr>
          <w:b/>
          <w:szCs w:val="24"/>
        </w:rPr>
      </w:pPr>
    </w:p>
    <w:p w:rsidR="003413AB" w:rsidRDefault="003413AB" w:rsidP="00C0600B">
      <w:pPr>
        <w:ind w:hanging="11"/>
      </w:pPr>
      <w:r w:rsidRPr="00CA3DA4">
        <w:t xml:space="preserve">The table below shows investment activity </w:t>
      </w:r>
      <w:r w:rsidR="009B0BEE" w:rsidRPr="00CA3DA4">
        <w:t xml:space="preserve">between </w:t>
      </w:r>
      <w:r w:rsidR="00CA3DA4">
        <w:t>31 August 2014 and 30 Nov</w:t>
      </w:r>
      <w:r w:rsidR="00265411" w:rsidRPr="00CA3DA4">
        <w:t>ember 2014.</w:t>
      </w:r>
    </w:p>
    <w:p w:rsidR="005D3268" w:rsidRDefault="005D3268" w:rsidP="00C0600B">
      <w:pPr>
        <w:ind w:hanging="11"/>
      </w:pPr>
    </w:p>
    <w:p w:rsidR="005D3268" w:rsidRPr="00CA3DA4" w:rsidRDefault="005D3268" w:rsidP="00C0600B">
      <w:pPr>
        <w:ind w:hanging="11"/>
      </w:pPr>
    </w:p>
    <w:tbl>
      <w:tblPr>
        <w:tblW w:w="7740" w:type="dxa"/>
        <w:tblLook w:val="04A0" w:firstRow="1" w:lastRow="0" w:firstColumn="1" w:lastColumn="0" w:noHBand="0" w:noVBand="1"/>
      </w:tblPr>
      <w:tblGrid>
        <w:gridCol w:w="2940"/>
        <w:gridCol w:w="1200"/>
        <w:gridCol w:w="840"/>
        <w:gridCol w:w="1560"/>
        <w:gridCol w:w="1200"/>
      </w:tblGrid>
      <w:tr w:rsidR="00AD3E3C" w:rsidRPr="00CA3DA4" w:rsidTr="00AD3E3C">
        <w:trPr>
          <w:trHeight w:val="300"/>
        </w:trPr>
        <w:tc>
          <w:tcPr>
            <w:tcW w:w="2940" w:type="dxa"/>
            <w:tcBorders>
              <w:top w:val="nil"/>
              <w:left w:val="nil"/>
              <w:bottom w:val="nil"/>
              <w:right w:val="nil"/>
            </w:tcBorders>
            <w:noWrap/>
            <w:vAlign w:val="bottom"/>
            <w:hideMark/>
          </w:tcPr>
          <w:p w:rsidR="00AD3E3C" w:rsidRPr="00CA3DA4" w:rsidRDefault="00AD3E3C" w:rsidP="00AD3E3C">
            <w:pPr>
              <w:rPr>
                <w:rFonts w:cs="Arial"/>
                <w:color w:val="000000"/>
                <w:szCs w:val="22"/>
              </w:rPr>
            </w:pPr>
          </w:p>
        </w:tc>
        <w:tc>
          <w:tcPr>
            <w:tcW w:w="1200" w:type="dxa"/>
            <w:tcBorders>
              <w:top w:val="nil"/>
              <w:left w:val="nil"/>
              <w:bottom w:val="nil"/>
              <w:right w:val="nil"/>
            </w:tcBorders>
            <w:noWrap/>
            <w:vAlign w:val="bottom"/>
            <w:hideMark/>
          </w:tcPr>
          <w:p w:rsidR="00AD3E3C" w:rsidRPr="00CA3DA4" w:rsidRDefault="00AD3E3C" w:rsidP="00AD3E3C">
            <w:pPr>
              <w:rPr>
                <w:rFonts w:cs="Arial"/>
                <w:color w:val="000000"/>
                <w:szCs w:val="22"/>
              </w:rPr>
            </w:pPr>
          </w:p>
        </w:tc>
        <w:tc>
          <w:tcPr>
            <w:tcW w:w="2400" w:type="dxa"/>
            <w:gridSpan w:val="2"/>
            <w:tcBorders>
              <w:top w:val="nil"/>
              <w:left w:val="nil"/>
              <w:bottom w:val="nil"/>
              <w:right w:val="nil"/>
            </w:tcBorders>
            <w:noWrap/>
            <w:vAlign w:val="bottom"/>
            <w:hideMark/>
          </w:tcPr>
          <w:p w:rsidR="00AD3E3C" w:rsidRPr="00CA3DA4" w:rsidRDefault="00AD3E3C" w:rsidP="00AD3E3C">
            <w:pPr>
              <w:jc w:val="center"/>
              <w:rPr>
                <w:rFonts w:ascii="Calibri" w:hAnsi="Calibri" w:cs="Arial"/>
                <w:b/>
                <w:bCs/>
                <w:color w:val="000000"/>
                <w:szCs w:val="22"/>
              </w:rPr>
            </w:pPr>
            <w:r w:rsidRPr="00CA3DA4">
              <w:rPr>
                <w:rFonts w:ascii="Calibri" w:hAnsi="Calibri" w:cs="Arial"/>
                <w:b/>
                <w:bCs/>
                <w:color w:val="000000"/>
                <w:sz w:val="22"/>
                <w:szCs w:val="22"/>
              </w:rPr>
              <w:t>Bank and Local Authority     Deposits</w:t>
            </w:r>
          </w:p>
        </w:tc>
        <w:tc>
          <w:tcPr>
            <w:tcW w:w="1200" w:type="dxa"/>
            <w:tcBorders>
              <w:top w:val="nil"/>
              <w:left w:val="nil"/>
              <w:bottom w:val="nil"/>
              <w:right w:val="nil"/>
            </w:tcBorders>
            <w:noWrap/>
            <w:vAlign w:val="bottom"/>
            <w:hideMark/>
          </w:tcPr>
          <w:p w:rsidR="00AD3E3C" w:rsidRPr="00CA3DA4" w:rsidRDefault="00AD3E3C" w:rsidP="00AD3E3C">
            <w:pPr>
              <w:rPr>
                <w:rFonts w:cs="Arial"/>
                <w:color w:val="000000"/>
                <w:szCs w:val="22"/>
              </w:rPr>
            </w:pPr>
          </w:p>
        </w:tc>
      </w:tr>
      <w:tr w:rsidR="00AD3E3C" w:rsidRPr="00CA3DA4" w:rsidTr="00AD3E3C">
        <w:trPr>
          <w:trHeight w:val="300"/>
        </w:trPr>
        <w:tc>
          <w:tcPr>
            <w:tcW w:w="2940" w:type="dxa"/>
            <w:tcBorders>
              <w:top w:val="nil"/>
              <w:left w:val="nil"/>
              <w:bottom w:val="nil"/>
              <w:right w:val="nil"/>
            </w:tcBorders>
            <w:noWrap/>
            <w:vAlign w:val="bottom"/>
            <w:hideMark/>
          </w:tcPr>
          <w:p w:rsidR="00AD3E3C" w:rsidRPr="00CA3DA4" w:rsidRDefault="00AD3E3C" w:rsidP="00AD3E3C">
            <w:pPr>
              <w:rPr>
                <w:rFonts w:cs="Arial"/>
                <w:color w:val="000000"/>
                <w:szCs w:val="22"/>
              </w:rPr>
            </w:pPr>
          </w:p>
        </w:tc>
        <w:tc>
          <w:tcPr>
            <w:tcW w:w="1200" w:type="dxa"/>
            <w:tcBorders>
              <w:top w:val="nil"/>
              <w:left w:val="nil"/>
              <w:bottom w:val="nil"/>
              <w:right w:val="nil"/>
            </w:tcBorders>
            <w:noWrap/>
            <w:vAlign w:val="bottom"/>
            <w:hideMark/>
          </w:tcPr>
          <w:p w:rsidR="00AD3E3C" w:rsidRPr="00CA3DA4" w:rsidRDefault="00AD3E3C" w:rsidP="00AD3E3C">
            <w:pPr>
              <w:rPr>
                <w:rFonts w:cs="Arial"/>
                <w:color w:val="000000"/>
                <w:szCs w:val="22"/>
              </w:rPr>
            </w:pPr>
          </w:p>
        </w:tc>
        <w:tc>
          <w:tcPr>
            <w:tcW w:w="840" w:type="dxa"/>
            <w:tcBorders>
              <w:top w:val="nil"/>
              <w:left w:val="nil"/>
              <w:bottom w:val="nil"/>
              <w:right w:val="nil"/>
            </w:tcBorders>
            <w:noWrap/>
            <w:vAlign w:val="bottom"/>
            <w:hideMark/>
          </w:tcPr>
          <w:p w:rsidR="00AD3E3C" w:rsidRPr="00CA3DA4" w:rsidRDefault="00AD3E3C" w:rsidP="00AD3E3C">
            <w:pPr>
              <w:rPr>
                <w:rFonts w:cs="Arial"/>
                <w:color w:val="000000"/>
                <w:szCs w:val="22"/>
              </w:rPr>
            </w:pPr>
          </w:p>
        </w:tc>
        <w:tc>
          <w:tcPr>
            <w:tcW w:w="1560" w:type="dxa"/>
            <w:tcBorders>
              <w:top w:val="nil"/>
              <w:left w:val="nil"/>
              <w:bottom w:val="nil"/>
              <w:right w:val="nil"/>
            </w:tcBorders>
            <w:noWrap/>
            <w:vAlign w:val="bottom"/>
            <w:hideMark/>
          </w:tcPr>
          <w:p w:rsidR="00AD3E3C" w:rsidRPr="00CA3DA4" w:rsidRDefault="00AD3E3C" w:rsidP="00AD3E3C">
            <w:pPr>
              <w:rPr>
                <w:rFonts w:cs="Arial"/>
                <w:color w:val="000000"/>
                <w:szCs w:val="22"/>
              </w:rPr>
            </w:pPr>
          </w:p>
        </w:tc>
        <w:tc>
          <w:tcPr>
            <w:tcW w:w="1200" w:type="dxa"/>
            <w:tcBorders>
              <w:top w:val="nil"/>
              <w:left w:val="nil"/>
              <w:bottom w:val="nil"/>
              <w:right w:val="nil"/>
            </w:tcBorders>
            <w:noWrap/>
            <w:vAlign w:val="bottom"/>
            <w:hideMark/>
          </w:tcPr>
          <w:p w:rsidR="00AD3E3C" w:rsidRPr="00CA3DA4" w:rsidRDefault="00AD3E3C" w:rsidP="00AD3E3C">
            <w:pPr>
              <w:rPr>
                <w:rFonts w:cs="Arial"/>
                <w:color w:val="000000"/>
                <w:szCs w:val="22"/>
              </w:rPr>
            </w:pPr>
          </w:p>
        </w:tc>
      </w:tr>
      <w:tr w:rsidR="00CA3DA4" w:rsidRPr="00CA3DA4" w:rsidTr="00575736">
        <w:trPr>
          <w:trHeight w:val="300"/>
        </w:trPr>
        <w:tc>
          <w:tcPr>
            <w:tcW w:w="2940" w:type="dxa"/>
            <w:tcBorders>
              <w:top w:val="nil"/>
              <w:left w:val="nil"/>
              <w:bottom w:val="nil"/>
              <w:right w:val="nil"/>
            </w:tcBorders>
            <w:shd w:val="clear" w:color="auto" w:fill="auto"/>
            <w:noWrap/>
            <w:vAlign w:val="bottom"/>
            <w:hideMark/>
          </w:tcPr>
          <w:p w:rsidR="00CA3DA4" w:rsidRDefault="00CA3DA4" w:rsidP="00CA3DA4">
            <w:pPr>
              <w:rPr>
                <w:rFonts w:ascii="Times New Roman" w:hAnsi="Times New Roman"/>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Call</w:t>
            </w:r>
          </w:p>
        </w:tc>
        <w:tc>
          <w:tcPr>
            <w:tcW w:w="84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Fixed</w:t>
            </w:r>
          </w:p>
        </w:tc>
        <w:tc>
          <w:tcPr>
            <w:tcW w:w="156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Structured</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 xml:space="preserve"> Total </w:t>
            </w:r>
          </w:p>
        </w:tc>
      </w:tr>
      <w:tr w:rsidR="00CA3DA4" w:rsidRPr="00CA3DA4" w:rsidTr="00575736">
        <w:trPr>
          <w:trHeight w:val="300"/>
        </w:trPr>
        <w:tc>
          <w:tcPr>
            <w:tcW w:w="294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c>
          <w:tcPr>
            <w:tcW w:w="84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c>
          <w:tcPr>
            <w:tcW w:w="156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r>
      <w:tr w:rsidR="00CA3DA4" w:rsidRPr="00CA3DA4" w:rsidTr="00575736">
        <w:trPr>
          <w:trHeight w:val="300"/>
        </w:trPr>
        <w:tc>
          <w:tcPr>
            <w:tcW w:w="2940" w:type="dxa"/>
            <w:tcBorders>
              <w:top w:val="nil"/>
              <w:left w:val="nil"/>
              <w:bottom w:val="nil"/>
              <w:right w:val="nil"/>
            </w:tcBorders>
            <w:shd w:val="clear" w:color="auto" w:fill="auto"/>
            <w:noWrap/>
            <w:vAlign w:val="bottom"/>
            <w:hideMark/>
          </w:tcPr>
          <w:p w:rsidR="00CA3DA4" w:rsidRDefault="00CA3DA4" w:rsidP="00CA3DA4">
            <w:pPr>
              <w:rPr>
                <w:rFonts w:ascii="Calibri" w:hAnsi="Calibri" w:cs="Arial"/>
                <w:b/>
                <w:bCs/>
                <w:color w:val="000000"/>
                <w:sz w:val="20"/>
              </w:rPr>
            </w:pPr>
            <w:r>
              <w:rPr>
                <w:rFonts w:ascii="Calibri" w:hAnsi="Calibri" w:cs="Arial"/>
                <w:b/>
                <w:bCs/>
                <w:color w:val="000000"/>
                <w:sz w:val="20"/>
              </w:rPr>
              <w:t>Balance 31 August 2014</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89.28</w:t>
            </w:r>
          </w:p>
        </w:tc>
        <w:tc>
          <w:tcPr>
            <w:tcW w:w="84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56.50</w:t>
            </w:r>
          </w:p>
        </w:tc>
        <w:tc>
          <w:tcPr>
            <w:tcW w:w="156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73.81</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219.58</w:t>
            </w:r>
          </w:p>
        </w:tc>
      </w:tr>
      <w:tr w:rsidR="00CA3DA4" w:rsidRPr="00CA3DA4" w:rsidTr="00575736">
        <w:trPr>
          <w:trHeight w:val="300"/>
        </w:trPr>
        <w:tc>
          <w:tcPr>
            <w:tcW w:w="2940" w:type="dxa"/>
            <w:tcBorders>
              <w:top w:val="nil"/>
              <w:left w:val="nil"/>
              <w:bottom w:val="nil"/>
              <w:right w:val="nil"/>
            </w:tcBorders>
            <w:shd w:val="clear" w:color="auto" w:fill="auto"/>
            <w:noWrap/>
            <w:vAlign w:val="bottom"/>
            <w:hideMark/>
          </w:tcPr>
          <w:p w:rsidR="00CA3DA4" w:rsidRDefault="00CA3DA4" w:rsidP="00CA3DA4">
            <w:pPr>
              <w:rPr>
                <w:rFonts w:ascii="Calibri" w:hAnsi="Calibri" w:cs="Arial"/>
                <w:color w:val="000000"/>
                <w:sz w:val="20"/>
              </w:rPr>
            </w:pPr>
            <w:r>
              <w:rPr>
                <w:rFonts w:ascii="Calibri" w:hAnsi="Calibri" w:cs="Arial"/>
                <w:color w:val="000000"/>
                <w:sz w:val="20"/>
              </w:rPr>
              <w:t>Maturities</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-83.30</w:t>
            </w:r>
          </w:p>
        </w:tc>
        <w:tc>
          <w:tcPr>
            <w:tcW w:w="84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0.00</w:t>
            </w:r>
          </w:p>
        </w:tc>
        <w:tc>
          <w:tcPr>
            <w:tcW w:w="156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0.19</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-83.11</w:t>
            </w:r>
          </w:p>
        </w:tc>
      </w:tr>
      <w:tr w:rsidR="00CA3DA4" w:rsidRPr="00CA3DA4" w:rsidTr="00575736">
        <w:trPr>
          <w:trHeight w:val="300"/>
        </w:trPr>
        <w:tc>
          <w:tcPr>
            <w:tcW w:w="2940" w:type="dxa"/>
            <w:tcBorders>
              <w:top w:val="nil"/>
              <w:left w:val="nil"/>
              <w:bottom w:val="nil"/>
              <w:right w:val="nil"/>
            </w:tcBorders>
            <w:shd w:val="clear" w:color="auto" w:fill="auto"/>
            <w:noWrap/>
            <w:vAlign w:val="bottom"/>
            <w:hideMark/>
          </w:tcPr>
          <w:p w:rsidR="00CA3DA4" w:rsidRDefault="00CA3DA4" w:rsidP="00CA3DA4">
            <w:pPr>
              <w:rPr>
                <w:rFonts w:ascii="Calibri" w:hAnsi="Calibri" w:cs="Arial"/>
                <w:color w:val="000000"/>
                <w:sz w:val="20"/>
              </w:rPr>
            </w:pPr>
            <w:r>
              <w:rPr>
                <w:rFonts w:ascii="Calibri" w:hAnsi="Calibri" w:cs="Arial"/>
                <w:color w:val="000000"/>
                <w:sz w:val="20"/>
              </w:rPr>
              <w:t>New Investments</w:t>
            </w:r>
          </w:p>
        </w:tc>
        <w:tc>
          <w:tcPr>
            <w:tcW w:w="1200" w:type="dxa"/>
            <w:tcBorders>
              <w:top w:val="nil"/>
              <w:left w:val="nil"/>
              <w:bottom w:val="nil"/>
              <w:right w:val="nil"/>
            </w:tcBorders>
            <w:shd w:val="clear" w:color="auto" w:fill="auto"/>
            <w:noWrap/>
            <w:vAlign w:val="bottom"/>
            <w:hideMark/>
          </w:tcPr>
          <w:p w:rsidR="00CA3DA4" w:rsidRDefault="005D3268" w:rsidP="00CA3DA4">
            <w:pPr>
              <w:jc w:val="center"/>
              <w:rPr>
                <w:rFonts w:ascii="Calibri" w:hAnsi="Calibri" w:cs="Arial"/>
                <w:color w:val="000000"/>
                <w:sz w:val="20"/>
              </w:rPr>
            </w:pPr>
            <w:r>
              <w:rPr>
                <w:rFonts w:ascii="Calibri" w:hAnsi="Calibri" w:cs="Arial"/>
                <w:color w:val="000000"/>
                <w:sz w:val="20"/>
              </w:rPr>
              <w:t xml:space="preserve">  </w:t>
            </w:r>
            <w:r w:rsidR="00CA3DA4">
              <w:rPr>
                <w:rFonts w:ascii="Calibri" w:hAnsi="Calibri" w:cs="Arial"/>
                <w:color w:val="000000"/>
                <w:sz w:val="20"/>
              </w:rPr>
              <w:t>86.47</w:t>
            </w:r>
          </w:p>
        </w:tc>
        <w:tc>
          <w:tcPr>
            <w:tcW w:w="84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0.00</w:t>
            </w:r>
          </w:p>
        </w:tc>
        <w:tc>
          <w:tcPr>
            <w:tcW w:w="156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0.00</w:t>
            </w:r>
          </w:p>
        </w:tc>
        <w:tc>
          <w:tcPr>
            <w:tcW w:w="1200" w:type="dxa"/>
            <w:tcBorders>
              <w:top w:val="nil"/>
              <w:left w:val="nil"/>
              <w:bottom w:val="nil"/>
              <w:right w:val="nil"/>
            </w:tcBorders>
            <w:shd w:val="clear" w:color="auto" w:fill="auto"/>
            <w:noWrap/>
            <w:vAlign w:val="bottom"/>
            <w:hideMark/>
          </w:tcPr>
          <w:p w:rsidR="00CA3DA4" w:rsidRDefault="005D3268" w:rsidP="00CA3DA4">
            <w:pPr>
              <w:jc w:val="center"/>
              <w:rPr>
                <w:rFonts w:ascii="Calibri" w:hAnsi="Calibri" w:cs="Arial"/>
                <w:color w:val="000000"/>
                <w:sz w:val="20"/>
              </w:rPr>
            </w:pPr>
            <w:r>
              <w:rPr>
                <w:rFonts w:ascii="Calibri" w:hAnsi="Calibri" w:cs="Arial"/>
                <w:color w:val="000000"/>
                <w:sz w:val="20"/>
              </w:rPr>
              <w:t xml:space="preserve">  </w:t>
            </w:r>
            <w:r w:rsidR="00CA3DA4">
              <w:rPr>
                <w:rFonts w:ascii="Calibri" w:hAnsi="Calibri" w:cs="Arial"/>
                <w:color w:val="000000"/>
                <w:sz w:val="20"/>
              </w:rPr>
              <w:t>86.47</w:t>
            </w:r>
          </w:p>
        </w:tc>
      </w:tr>
      <w:tr w:rsidR="00CA3DA4" w:rsidRPr="00CA3DA4" w:rsidTr="00575736">
        <w:trPr>
          <w:trHeight w:val="315"/>
        </w:trPr>
        <w:tc>
          <w:tcPr>
            <w:tcW w:w="294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rPr>
                <w:sz w:val="20"/>
              </w:rPr>
            </w:pPr>
          </w:p>
        </w:tc>
        <w:tc>
          <w:tcPr>
            <w:tcW w:w="840" w:type="dxa"/>
            <w:tcBorders>
              <w:top w:val="nil"/>
              <w:left w:val="nil"/>
              <w:bottom w:val="nil"/>
              <w:right w:val="nil"/>
            </w:tcBorders>
            <w:shd w:val="clear" w:color="auto" w:fill="auto"/>
            <w:noWrap/>
            <w:vAlign w:val="bottom"/>
            <w:hideMark/>
          </w:tcPr>
          <w:p w:rsidR="00CA3DA4" w:rsidRDefault="00CA3DA4" w:rsidP="00CA3DA4">
            <w:pPr>
              <w:jc w:val="center"/>
              <w:rPr>
                <w:sz w:val="20"/>
              </w:rPr>
            </w:pPr>
          </w:p>
        </w:tc>
        <w:tc>
          <w:tcPr>
            <w:tcW w:w="1560" w:type="dxa"/>
            <w:tcBorders>
              <w:top w:val="nil"/>
              <w:left w:val="nil"/>
              <w:bottom w:val="nil"/>
              <w:right w:val="nil"/>
            </w:tcBorders>
            <w:shd w:val="clear" w:color="auto" w:fill="auto"/>
            <w:noWrap/>
            <w:vAlign w:val="bottom"/>
            <w:hideMark/>
          </w:tcPr>
          <w:p w:rsidR="00CA3DA4" w:rsidRDefault="00CA3DA4" w:rsidP="00CA3DA4">
            <w:pPr>
              <w:jc w:val="center"/>
              <w:rPr>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sz w:val="20"/>
              </w:rPr>
            </w:pPr>
          </w:p>
        </w:tc>
      </w:tr>
      <w:tr w:rsidR="00CA3DA4" w:rsidRPr="00CA3DA4" w:rsidTr="00575736">
        <w:trPr>
          <w:trHeight w:val="315"/>
        </w:trPr>
        <w:tc>
          <w:tcPr>
            <w:tcW w:w="2940" w:type="dxa"/>
            <w:tcBorders>
              <w:top w:val="nil"/>
              <w:left w:val="nil"/>
              <w:bottom w:val="nil"/>
              <w:right w:val="nil"/>
            </w:tcBorders>
            <w:shd w:val="clear" w:color="auto" w:fill="auto"/>
            <w:noWrap/>
            <w:vAlign w:val="bottom"/>
            <w:hideMark/>
          </w:tcPr>
          <w:p w:rsidR="00CA3DA4" w:rsidRDefault="00CA3DA4" w:rsidP="00CA3DA4">
            <w:pPr>
              <w:rPr>
                <w:rFonts w:ascii="Calibri" w:hAnsi="Calibri" w:cs="Arial"/>
                <w:b/>
                <w:bCs/>
                <w:color w:val="000000"/>
                <w:sz w:val="20"/>
              </w:rPr>
            </w:pPr>
            <w:r>
              <w:rPr>
                <w:rFonts w:ascii="Calibri" w:hAnsi="Calibri" w:cs="Arial"/>
                <w:b/>
                <w:bCs/>
                <w:color w:val="000000"/>
                <w:sz w:val="20"/>
              </w:rPr>
              <w:t>Balance 30 November 2014</w:t>
            </w:r>
          </w:p>
        </w:tc>
        <w:tc>
          <w:tcPr>
            <w:tcW w:w="1200"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92.46</w:t>
            </w:r>
          </w:p>
        </w:tc>
        <w:tc>
          <w:tcPr>
            <w:tcW w:w="840"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56.50</w:t>
            </w:r>
          </w:p>
        </w:tc>
        <w:tc>
          <w:tcPr>
            <w:tcW w:w="1560"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74.00</w:t>
            </w:r>
          </w:p>
        </w:tc>
        <w:tc>
          <w:tcPr>
            <w:tcW w:w="1200"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222.95</w:t>
            </w:r>
          </w:p>
        </w:tc>
      </w:tr>
    </w:tbl>
    <w:p w:rsidR="00AD3E3C" w:rsidRDefault="00AD3E3C" w:rsidP="00AD3E3C"/>
    <w:p w:rsidR="005D3268" w:rsidRDefault="005D3268" w:rsidP="00AD3E3C"/>
    <w:p w:rsidR="005D3268" w:rsidRPr="00CA3DA4" w:rsidRDefault="005D3268" w:rsidP="00AD3E3C"/>
    <w:tbl>
      <w:tblPr>
        <w:tblW w:w="7740" w:type="dxa"/>
        <w:tblLook w:val="04A0" w:firstRow="1" w:lastRow="0" w:firstColumn="1" w:lastColumn="0" w:noHBand="0" w:noVBand="1"/>
      </w:tblPr>
      <w:tblGrid>
        <w:gridCol w:w="2940"/>
        <w:gridCol w:w="1200"/>
        <w:gridCol w:w="1200"/>
        <w:gridCol w:w="1200"/>
        <w:gridCol w:w="1200"/>
      </w:tblGrid>
      <w:tr w:rsidR="00AD3E3C" w:rsidRPr="00CA3DA4" w:rsidTr="00AD3E3C">
        <w:trPr>
          <w:trHeight w:val="315"/>
        </w:trPr>
        <w:tc>
          <w:tcPr>
            <w:tcW w:w="2940" w:type="dxa"/>
            <w:tcBorders>
              <w:top w:val="nil"/>
              <w:left w:val="nil"/>
              <w:bottom w:val="nil"/>
              <w:right w:val="nil"/>
            </w:tcBorders>
            <w:noWrap/>
            <w:vAlign w:val="bottom"/>
            <w:hideMark/>
          </w:tcPr>
          <w:p w:rsidR="00AD3E3C" w:rsidRPr="00CA3DA4" w:rsidRDefault="00AD3E3C" w:rsidP="00AD3E3C">
            <w:pPr>
              <w:rPr>
                <w:rFonts w:ascii="Calibri" w:hAnsi="Calibri" w:cs="Arial"/>
                <w:color w:val="000000"/>
                <w:szCs w:val="22"/>
              </w:rPr>
            </w:pPr>
          </w:p>
        </w:tc>
        <w:tc>
          <w:tcPr>
            <w:tcW w:w="1200" w:type="dxa"/>
            <w:tcBorders>
              <w:top w:val="nil"/>
              <w:left w:val="nil"/>
              <w:bottom w:val="nil"/>
              <w:right w:val="nil"/>
            </w:tcBorders>
            <w:noWrap/>
            <w:vAlign w:val="bottom"/>
            <w:hideMark/>
          </w:tcPr>
          <w:p w:rsidR="00AD3E3C" w:rsidRPr="00CA3DA4" w:rsidRDefault="00AD3E3C" w:rsidP="00AD3E3C">
            <w:pPr>
              <w:jc w:val="center"/>
              <w:rPr>
                <w:rFonts w:ascii="Calibri" w:hAnsi="Calibri" w:cs="Arial"/>
                <w:color w:val="000000"/>
                <w:szCs w:val="22"/>
              </w:rPr>
            </w:pPr>
          </w:p>
        </w:tc>
        <w:tc>
          <w:tcPr>
            <w:tcW w:w="1200" w:type="dxa"/>
            <w:tcBorders>
              <w:top w:val="nil"/>
              <w:left w:val="nil"/>
              <w:bottom w:val="nil"/>
              <w:right w:val="nil"/>
            </w:tcBorders>
            <w:noWrap/>
            <w:vAlign w:val="bottom"/>
            <w:hideMark/>
          </w:tcPr>
          <w:p w:rsidR="00AD3E3C" w:rsidRPr="00CA3DA4" w:rsidRDefault="00AD3E3C" w:rsidP="00AD3E3C">
            <w:pPr>
              <w:jc w:val="center"/>
              <w:rPr>
                <w:rFonts w:ascii="Calibri" w:hAnsi="Calibri" w:cs="Arial"/>
                <w:b/>
                <w:bCs/>
                <w:color w:val="000000"/>
                <w:szCs w:val="22"/>
              </w:rPr>
            </w:pPr>
            <w:r w:rsidRPr="00CA3DA4">
              <w:rPr>
                <w:rFonts w:ascii="Calibri" w:hAnsi="Calibri" w:cs="Arial"/>
                <w:b/>
                <w:bCs/>
                <w:color w:val="000000"/>
                <w:sz w:val="22"/>
                <w:szCs w:val="22"/>
              </w:rPr>
              <w:t xml:space="preserve">        Bonds</w:t>
            </w:r>
          </w:p>
        </w:tc>
        <w:tc>
          <w:tcPr>
            <w:tcW w:w="1200" w:type="dxa"/>
            <w:tcBorders>
              <w:top w:val="nil"/>
              <w:left w:val="nil"/>
              <w:bottom w:val="nil"/>
              <w:right w:val="nil"/>
            </w:tcBorders>
            <w:noWrap/>
            <w:vAlign w:val="bottom"/>
            <w:hideMark/>
          </w:tcPr>
          <w:p w:rsidR="00AD3E3C" w:rsidRPr="00CA3DA4" w:rsidRDefault="00AD3E3C" w:rsidP="00AD3E3C">
            <w:pPr>
              <w:jc w:val="center"/>
              <w:rPr>
                <w:rFonts w:ascii="Calibri" w:hAnsi="Calibri" w:cs="Arial"/>
                <w:color w:val="000000"/>
                <w:szCs w:val="22"/>
              </w:rPr>
            </w:pPr>
          </w:p>
        </w:tc>
        <w:tc>
          <w:tcPr>
            <w:tcW w:w="1200" w:type="dxa"/>
            <w:tcBorders>
              <w:top w:val="nil"/>
              <w:left w:val="nil"/>
              <w:bottom w:val="nil"/>
              <w:right w:val="nil"/>
            </w:tcBorders>
            <w:noWrap/>
            <w:vAlign w:val="bottom"/>
            <w:hideMark/>
          </w:tcPr>
          <w:p w:rsidR="00AD3E3C" w:rsidRPr="00CA3DA4" w:rsidRDefault="00AD3E3C" w:rsidP="00AD3E3C">
            <w:pPr>
              <w:jc w:val="center"/>
              <w:rPr>
                <w:rFonts w:ascii="Calibri" w:hAnsi="Calibri" w:cs="Arial"/>
                <w:color w:val="000000"/>
                <w:szCs w:val="22"/>
              </w:rPr>
            </w:pPr>
          </w:p>
        </w:tc>
      </w:tr>
      <w:tr w:rsidR="00AD3E3C" w:rsidRPr="00CA3DA4" w:rsidTr="00AD3E3C">
        <w:trPr>
          <w:trHeight w:val="315"/>
        </w:trPr>
        <w:tc>
          <w:tcPr>
            <w:tcW w:w="2940" w:type="dxa"/>
            <w:tcBorders>
              <w:top w:val="nil"/>
              <w:left w:val="nil"/>
              <w:bottom w:val="nil"/>
              <w:right w:val="nil"/>
            </w:tcBorders>
            <w:noWrap/>
            <w:vAlign w:val="bottom"/>
            <w:hideMark/>
          </w:tcPr>
          <w:p w:rsidR="00AD3E3C" w:rsidRPr="00CA3DA4" w:rsidRDefault="00AD3E3C" w:rsidP="00AD3E3C">
            <w:pPr>
              <w:rPr>
                <w:rFonts w:ascii="Calibri" w:hAnsi="Calibri" w:cs="Arial"/>
                <w:color w:val="000000"/>
                <w:szCs w:val="22"/>
              </w:rPr>
            </w:pPr>
          </w:p>
        </w:tc>
        <w:tc>
          <w:tcPr>
            <w:tcW w:w="1200" w:type="dxa"/>
            <w:tcBorders>
              <w:top w:val="nil"/>
              <w:left w:val="nil"/>
              <w:bottom w:val="nil"/>
              <w:right w:val="nil"/>
            </w:tcBorders>
            <w:noWrap/>
            <w:vAlign w:val="bottom"/>
            <w:hideMark/>
          </w:tcPr>
          <w:p w:rsidR="00AD3E3C" w:rsidRPr="00CA3DA4" w:rsidRDefault="00AD3E3C" w:rsidP="00AD3E3C">
            <w:pPr>
              <w:rPr>
                <w:rFonts w:ascii="Calibri" w:hAnsi="Calibri" w:cs="Arial"/>
                <w:color w:val="000000"/>
                <w:szCs w:val="22"/>
              </w:rPr>
            </w:pPr>
          </w:p>
        </w:tc>
        <w:tc>
          <w:tcPr>
            <w:tcW w:w="1200" w:type="dxa"/>
            <w:tcBorders>
              <w:top w:val="nil"/>
              <w:left w:val="nil"/>
              <w:bottom w:val="nil"/>
              <w:right w:val="nil"/>
            </w:tcBorders>
            <w:noWrap/>
            <w:vAlign w:val="bottom"/>
            <w:hideMark/>
          </w:tcPr>
          <w:p w:rsidR="00AD3E3C" w:rsidRPr="00CA3DA4" w:rsidRDefault="00AD3E3C" w:rsidP="00AD3E3C">
            <w:pPr>
              <w:rPr>
                <w:rFonts w:ascii="Calibri" w:hAnsi="Calibri" w:cs="Arial"/>
                <w:color w:val="000000"/>
                <w:szCs w:val="22"/>
              </w:rPr>
            </w:pPr>
          </w:p>
        </w:tc>
        <w:tc>
          <w:tcPr>
            <w:tcW w:w="1200" w:type="dxa"/>
            <w:tcBorders>
              <w:top w:val="nil"/>
              <w:left w:val="nil"/>
              <w:bottom w:val="nil"/>
              <w:right w:val="nil"/>
            </w:tcBorders>
            <w:noWrap/>
            <w:vAlign w:val="bottom"/>
            <w:hideMark/>
          </w:tcPr>
          <w:p w:rsidR="00AD3E3C" w:rsidRPr="00CA3DA4" w:rsidRDefault="00AD3E3C" w:rsidP="00AD3E3C">
            <w:pPr>
              <w:rPr>
                <w:rFonts w:ascii="Calibri" w:hAnsi="Calibri" w:cs="Arial"/>
                <w:color w:val="000000"/>
                <w:szCs w:val="22"/>
              </w:rPr>
            </w:pPr>
          </w:p>
        </w:tc>
        <w:tc>
          <w:tcPr>
            <w:tcW w:w="1200" w:type="dxa"/>
            <w:tcBorders>
              <w:top w:val="nil"/>
              <w:left w:val="nil"/>
              <w:bottom w:val="nil"/>
              <w:right w:val="nil"/>
            </w:tcBorders>
            <w:noWrap/>
            <w:vAlign w:val="bottom"/>
            <w:hideMark/>
          </w:tcPr>
          <w:p w:rsidR="00AD3E3C" w:rsidRPr="00CA3DA4" w:rsidRDefault="00AD3E3C" w:rsidP="00AD3E3C">
            <w:pPr>
              <w:rPr>
                <w:rFonts w:ascii="Calibri" w:hAnsi="Calibri" w:cs="Arial"/>
                <w:color w:val="000000"/>
                <w:szCs w:val="22"/>
              </w:rPr>
            </w:pPr>
          </w:p>
        </w:tc>
      </w:tr>
      <w:tr w:rsidR="00CA3DA4" w:rsidRPr="00CA3DA4" w:rsidTr="00575736">
        <w:trPr>
          <w:trHeight w:val="315"/>
        </w:trPr>
        <w:tc>
          <w:tcPr>
            <w:tcW w:w="2940" w:type="dxa"/>
            <w:tcBorders>
              <w:top w:val="nil"/>
              <w:left w:val="nil"/>
              <w:bottom w:val="nil"/>
              <w:right w:val="nil"/>
            </w:tcBorders>
            <w:shd w:val="clear" w:color="auto" w:fill="auto"/>
            <w:noWrap/>
            <w:vAlign w:val="bottom"/>
            <w:hideMark/>
          </w:tcPr>
          <w:p w:rsidR="00CA3DA4" w:rsidRDefault="00CA3DA4" w:rsidP="00CA3DA4">
            <w:pPr>
              <w:rPr>
                <w:rFonts w:ascii="Times New Roman" w:hAnsi="Times New Roman"/>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LA Bonds</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Gilts</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Others</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 xml:space="preserve"> Total </w:t>
            </w:r>
          </w:p>
        </w:tc>
      </w:tr>
      <w:tr w:rsidR="00CA3DA4" w:rsidRPr="00CA3DA4" w:rsidTr="00575736">
        <w:trPr>
          <w:trHeight w:val="315"/>
        </w:trPr>
        <w:tc>
          <w:tcPr>
            <w:tcW w:w="294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r>
      <w:tr w:rsidR="00CA3DA4" w:rsidRPr="00CA3DA4" w:rsidTr="00575736">
        <w:trPr>
          <w:trHeight w:val="300"/>
        </w:trPr>
        <w:tc>
          <w:tcPr>
            <w:tcW w:w="2940" w:type="dxa"/>
            <w:tcBorders>
              <w:top w:val="nil"/>
              <w:left w:val="nil"/>
              <w:bottom w:val="nil"/>
              <w:right w:val="nil"/>
            </w:tcBorders>
            <w:shd w:val="clear" w:color="auto" w:fill="auto"/>
            <w:noWrap/>
            <w:vAlign w:val="bottom"/>
            <w:hideMark/>
          </w:tcPr>
          <w:p w:rsidR="00CA3DA4" w:rsidRDefault="00CA3DA4" w:rsidP="00CA3DA4">
            <w:pPr>
              <w:rPr>
                <w:rFonts w:ascii="Calibri" w:hAnsi="Calibri" w:cs="Arial"/>
                <w:b/>
                <w:bCs/>
                <w:color w:val="000000"/>
                <w:sz w:val="20"/>
              </w:rPr>
            </w:pPr>
            <w:r>
              <w:rPr>
                <w:rFonts w:ascii="Calibri" w:hAnsi="Calibri" w:cs="Arial"/>
                <w:b/>
                <w:bCs/>
                <w:color w:val="000000"/>
                <w:sz w:val="20"/>
              </w:rPr>
              <w:t>Balance 31 August 2014</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20.09</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43.66</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190.15</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253.90</w:t>
            </w:r>
          </w:p>
        </w:tc>
      </w:tr>
      <w:tr w:rsidR="00CA3DA4" w:rsidRPr="00CA3DA4" w:rsidTr="00575736">
        <w:trPr>
          <w:trHeight w:val="300"/>
        </w:trPr>
        <w:tc>
          <w:tcPr>
            <w:tcW w:w="2940" w:type="dxa"/>
            <w:tcBorders>
              <w:top w:val="nil"/>
              <w:left w:val="nil"/>
              <w:bottom w:val="nil"/>
              <w:right w:val="nil"/>
            </w:tcBorders>
            <w:shd w:val="clear" w:color="auto" w:fill="auto"/>
            <w:noWrap/>
            <w:vAlign w:val="bottom"/>
            <w:hideMark/>
          </w:tcPr>
          <w:p w:rsidR="00CA3DA4" w:rsidRDefault="00CA3DA4" w:rsidP="00CA3DA4">
            <w:pPr>
              <w:rPr>
                <w:rFonts w:ascii="Calibri" w:hAnsi="Calibri" w:cs="Arial"/>
                <w:color w:val="000000"/>
                <w:sz w:val="20"/>
              </w:rPr>
            </w:pPr>
            <w:r>
              <w:rPr>
                <w:rFonts w:ascii="Calibri" w:hAnsi="Calibri" w:cs="Arial"/>
                <w:color w:val="000000"/>
                <w:sz w:val="20"/>
              </w:rPr>
              <w:t>Maturities</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16.61</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-4,316.48</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-233.91</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-4,533.77</w:t>
            </w:r>
          </w:p>
        </w:tc>
      </w:tr>
      <w:tr w:rsidR="00CA3DA4" w:rsidRPr="00CA3DA4" w:rsidTr="00575736">
        <w:trPr>
          <w:trHeight w:val="300"/>
        </w:trPr>
        <w:tc>
          <w:tcPr>
            <w:tcW w:w="2940" w:type="dxa"/>
            <w:tcBorders>
              <w:top w:val="nil"/>
              <w:left w:val="nil"/>
              <w:bottom w:val="nil"/>
              <w:right w:val="nil"/>
            </w:tcBorders>
            <w:shd w:val="clear" w:color="auto" w:fill="auto"/>
            <w:noWrap/>
            <w:vAlign w:val="bottom"/>
            <w:hideMark/>
          </w:tcPr>
          <w:p w:rsidR="00CA3DA4" w:rsidRDefault="00CA3DA4" w:rsidP="00CA3DA4">
            <w:pPr>
              <w:rPr>
                <w:rFonts w:ascii="Calibri" w:hAnsi="Calibri" w:cs="Arial"/>
                <w:color w:val="000000"/>
                <w:sz w:val="20"/>
              </w:rPr>
            </w:pPr>
            <w:r>
              <w:rPr>
                <w:rFonts w:ascii="Calibri" w:hAnsi="Calibri" w:cs="Arial"/>
                <w:color w:val="000000"/>
                <w:sz w:val="20"/>
              </w:rPr>
              <w:t>New Investments</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0.00</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4,361.27</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255.11</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4,616.38</w:t>
            </w:r>
          </w:p>
        </w:tc>
      </w:tr>
      <w:tr w:rsidR="00CA3DA4" w:rsidRPr="00CA3DA4" w:rsidTr="00575736">
        <w:trPr>
          <w:trHeight w:val="315"/>
        </w:trPr>
        <w:tc>
          <w:tcPr>
            <w:tcW w:w="294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rPr>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sz w:val="20"/>
              </w:rPr>
            </w:pPr>
          </w:p>
        </w:tc>
      </w:tr>
      <w:tr w:rsidR="00CA3DA4" w:rsidRPr="00AD3E3C" w:rsidTr="00575736">
        <w:trPr>
          <w:trHeight w:val="315"/>
        </w:trPr>
        <w:tc>
          <w:tcPr>
            <w:tcW w:w="2940" w:type="dxa"/>
            <w:tcBorders>
              <w:top w:val="nil"/>
              <w:left w:val="nil"/>
              <w:bottom w:val="nil"/>
              <w:right w:val="nil"/>
            </w:tcBorders>
            <w:shd w:val="clear" w:color="auto" w:fill="auto"/>
            <w:noWrap/>
            <w:vAlign w:val="bottom"/>
            <w:hideMark/>
          </w:tcPr>
          <w:p w:rsidR="00CA3DA4" w:rsidRDefault="00CA3DA4" w:rsidP="00CA3DA4">
            <w:pPr>
              <w:rPr>
                <w:rFonts w:ascii="Calibri" w:hAnsi="Calibri" w:cs="Arial"/>
                <w:b/>
                <w:bCs/>
                <w:color w:val="000000"/>
                <w:sz w:val="20"/>
              </w:rPr>
            </w:pPr>
            <w:r>
              <w:rPr>
                <w:rFonts w:ascii="Calibri" w:hAnsi="Calibri" w:cs="Arial"/>
                <w:b/>
                <w:bCs/>
                <w:color w:val="000000"/>
                <w:sz w:val="20"/>
              </w:rPr>
              <w:t>Balance 30 November 2014</w:t>
            </w:r>
          </w:p>
        </w:tc>
        <w:tc>
          <w:tcPr>
            <w:tcW w:w="1200"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36.70</w:t>
            </w:r>
          </w:p>
        </w:tc>
        <w:tc>
          <w:tcPr>
            <w:tcW w:w="1200"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88.45</w:t>
            </w:r>
          </w:p>
        </w:tc>
        <w:tc>
          <w:tcPr>
            <w:tcW w:w="1200"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211.35</w:t>
            </w:r>
          </w:p>
        </w:tc>
        <w:tc>
          <w:tcPr>
            <w:tcW w:w="1200"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336.50</w:t>
            </w:r>
          </w:p>
        </w:tc>
      </w:tr>
    </w:tbl>
    <w:p w:rsidR="00AD3E3C" w:rsidRPr="00AD3E3C" w:rsidRDefault="00AD3E3C" w:rsidP="00AD3E3C">
      <w:pPr>
        <w:rPr>
          <w:szCs w:val="22"/>
        </w:rPr>
      </w:pPr>
    </w:p>
    <w:p w:rsidR="003413AB" w:rsidRPr="0005580E" w:rsidRDefault="003413AB" w:rsidP="00AD3E3C"/>
    <w:p w:rsidR="00365D61" w:rsidRDefault="00AD3E3C" w:rsidP="005D3268">
      <w:pPr>
        <w:jc w:val="both"/>
      </w:pPr>
      <w:r w:rsidRPr="00FB1F6B">
        <w:rPr>
          <w:rFonts w:cs="Arial"/>
          <w:color w:val="000000"/>
          <w:szCs w:val="24"/>
        </w:rPr>
        <w:t xml:space="preserve">Overall </w:t>
      </w:r>
      <w:r w:rsidR="00FB1F6B" w:rsidRPr="00FB1F6B">
        <w:rPr>
          <w:rFonts w:cs="Arial"/>
          <w:color w:val="000000"/>
          <w:szCs w:val="24"/>
        </w:rPr>
        <w:t>the level of investments have in</w:t>
      </w:r>
      <w:r w:rsidRPr="00FB1F6B">
        <w:rPr>
          <w:rFonts w:cs="Arial"/>
          <w:color w:val="000000"/>
          <w:szCs w:val="24"/>
        </w:rPr>
        <w:t>creased in the period by £</w:t>
      </w:r>
      <w:r w:rsidR="00FB1F6B" w:rsidRPr="00FB1F6B">
        <w:rPr>
          <w:rFonts w:cs="Arial"/>
          <w:color w:val="000000"/>
          <w:szCs w:val="24"/>
        </w:rPr>
        <w:t>85.97m</w:t>
      </w:r>
      <w:r w:rsidRPr="00FB1F6B">
        <w:rPr>
          <w:rFonts w:cs="Arial"/>
          <w:color w:val="000000"/>
          <w:szCs w:val="24"/>
        </w:rPr>
        <w:t xml:space="preserve">. </w:t>
      </w:r>
      <w:r w:rsidR="004F1BA8" w:rsidRPr="00FB1F6B">
        <w:rPr>
          <w:rFonts w:cs="Arial"/>
          <w:color w:val="000000"/>
          <w:szCs w:val="24"/>
        </w:rPr>
        <w:t xml:space="preserve">This </w:t>
      </w:r>
      <w:r w:rsidR="00FB1F6B" w:rsidRPr="00FB1F6B">
        <w:rPr>
          <w:rFonts w:cs="Arial"/>
          <w:color w:val="000000"/>
          <w:szCs w:val="24"/>
        </w:rPr>
        <w:t xml:space="preserve">increase </w:t>
      </w:r>
      <w:r w:rsidR="004F1BA8" w:rsidRPr="00FB1F6B">
        <w:rPr>
          <w:rFonts w:cs="Arial"/>
          <w:color w:val="000000"/>
          <w:szCs w:val="24"/>
        </w:rPr>
        <w:t>is in line with cash flow movements</w:t>
      </w:r>
      <w:r w:rsidR="00906E7A" w:rsidRPr="00FB1F6B">
        <w:rPr>
          <w:rFonts w:cs="Arial"/>
          <w:color w:val="000000"/>
          <w:szCs w:val="24"/>
        </w:rPr>
        <w:t xml:space="preserve"> and requirements</w:t>
      </w:r>
      <w:r w:rsidR="004F1BA8" w:rsidRPr="00FB1F6B">
        <w:rPr>
          <w:rFonts w:cs="Arial"/>
          <w:color w:val="000000"/>
          <w:szCs w:val="24"/>
        </w:rPr>
        <w:t>.</w:t>
      </w:r>
      <w:r w:rsidRPr="00FB1F6B">
        <w:rPr>
          <w:rFonts w:cs="Arial"/>
          <w:color w:val="000000"/>
          <w:szCs w:val="24"/>
        </w:rPr>
        <w:t xml:space="preserve"> Bond investments now make </w:t>
      </w:r>
      <w:r w:rsidR="007E7EE7" w:rsidRPr="00FB1F6B">
        <w:rPr>
          <w:rFonts w:cs="Arial"/>
          <w:color w:val="000000"/>
          <w:szCs w:val="24"/>
        </w:rPr>
        <w:t>up 60.15</w:t>
      </w:r>
      <w:r w:rsidRPr="00FB1F6B">
        <w:rPr>
          <w:rFonts w:cs="Arial"/>
          <w:color w:val="000000"/>
          <w:szCs w:val="24"/>
        </w:rPr>
        <w:t>% of the portfolio</w:t>
      </w:r>
      <w:r w:rsidR="009848BD" w:rsidRPr="00FB1F6B">
        <w:rPr>
          <w:rFonts w:cs="Arial"/>
          <w:color w:val="000000"/>
          <w:szCs w:val="24"/>
        </w:rPr>
        <w:t xml:space="preserve"> following</w:t>
      </w:r>
      <w:r w:rsidR="00DB1576">
        <w:rPr>
          <w:rFonts w:cs="Arial"/>
          <w:color w:val="000000"/>
          <w:szCs w:val="24"/>
        </w:rPr>
        <w:t xml:space="preserve"> t</w:t>
      </w:r>
      <w:r w:rsidR="00917AC0">
        <w:rPr>
          <w:rFonts w:cs="Arial"/>
          <w:color w:val="000000"/>
          <w:szCs w:val="24"/>
        </w:rPr>
        <w:t xml:space="preserve">he active management of investment portfolios through this period of </w:t>
      </w:r>
      <w:r w:rsidR="00DC4724">
        <w:rPr>
          <w:rFonts w:cs="Arial"/>
          <w:color w:val="000000"/>
          <w:szCs w:val="24"/>
        </w:rPr>
        <w:t xml:space="preserve">increasing geopolitical risk and deteriorating economic indicators </w:t>
      </w:r>
      <w:r w:rsidR="00811F59">
        <w:rPr>
          <w:rFonts w:cs="Arial"/>
          <w:color w:val="000000"/>
          <w:szCs w:val="24"/>
        </w:rPr>
        <w:t>and the Scottish referendum</w:t>
      </w:r>
      <w:r w:rsidR="00DC4724">
        <w:rPr>
          <w:rFonts w:cs="Arial"/>
          <w:color w:val="000000"/>
          <w:szCs w:val="24"/>
        </w:rPr>
        <w:t xml:space="preserve"> represented by the unusually high turnover of the gilts and other bond portfolios.</w:t>
      </w:r>
      <w:r w:rsidR="00917AC0">
        <w:rPr>
          <w:rFonts w:cs="Arial"/>
          <w:color w:val="000000"/>
          <w:szCs w:val="24"/>
        </w:rPr>
        <w:t xml:space="preserve"> </w:t>
      </w:r>
      <w:r w:rsidR="00DC4724" w:rsidRPr="00365D61">
        <w:t xml:space="preserve"> </w:t>
      </w:r>
    </w:p>
    <w:p w:rsidR="00811F59" w:rsidRDefault="00811F59" w:rsidP="005D3268">
      <w:pPr>
        <w:jc w:val="both"/>
      </w:pPr>
    </w:p>
    <w:p w:rsidR="00811F59" w:rsidRDefault="00811F59" w:rsidP="005D3268">
      <w:pPr>
        <w:jc w:val="both"/>
      </w:pPr>
      <w:r>
        <w:t xml:space="preserve">In addition liquidity management trades (described in section 3 above) increase the activity in UK Government Gilts.  </w:t>
      </w:r>
    </w:p>
    <w:p w:rsidR="00651796" w:rsidRDefault="00DC4724" w:rsidP="005D3268">
      <w:pPr>
        <w:jc w:val="both"/>
        <w:rPr>
          <w:highlight w:val="yellow"/>
        </w:rPr>
      </w:pPr>
      <w:r>
        <w:rPr>
          <w:highlight w:val="yellow"/>
        </w:rPr>
        <w:t xml:space="preserve"> </w:t>
      </w:r>
    </w:p>
    <w:p w:rsidR="005D3268" w:rsidRPr="00DE7585" w:rsidRDefault="005D3268" w:rsidP="005D3268">
      <w:pPr>
        <w:jc w:val="both"/>
        <w:rPr>
          <w:highlight w:val="yellow"/>
        </w:rPr>
      </w:pPr>
    </w:p>
    <w:p w:rsidR="004F1BA8" w:rsidRPr="00365D61" w:rsidRDefault="006E79AD" w:rsidP="005D3268">
      <w:pPr>
        <w:jc w:val="both"/>
      </w:pPr>
      <w:r w:rsidRPr="00365D61">
        <w:lastRenderedPageBreak/>
        <w:t xml:space="preserve">The current rate of return on the investment portfolio measured by </w:t>
      </w:r>
      <w:proofErr w:type="spellStart"/>
      <w:r w:rsidRPr="00365D61">
        <w:t>Arlingclose</w:t>
      </w:r>
      <w:proofErr w:type="spellEnd"/>
      <w:r w:rsidRPr="00365D61">
        <w:t xml:space="preserve"> Ltd treasury consultants is 2.</w:t>
      </w:r>
      <w:r w:rsidR="00FB1F6B" w:rsidRPr="00365D61">
        <w:t>063</w:t>
      </w:r>
      <w:r w:rsidRPr="00365D61">
        <w:t xml:space="preserve">% which </w:t>
      </w:r>
      <w:r w:rsidR="004F1BA8" w:rsidRPr="00365D61">
        <w:t>compares favourably with the benchmark 7 day LIBID which averages 0.3</w:t>
      </w:r>
      <w:r w:rsidR="00334457" w:rsidRPr="00365D61">
        <w:t>5</w:t>
      </w:r>
      <w:r w:rsidR="004F1BA8" w:rsidRPr="00365D61">
        <w:t>% over the same period.</w:t>
      </w:r>
    </w:p>
    <w:p w:rsidR="00365D61" w:rsidRPr="00DE7585" w:rsidRDefault="00365D61" w:rsidP="003413AB">
      <w:pPr>
        <w:ind w:hanging="11"/>
        <w:rPr>
          <w:highlight w:val="yellow"/>
        </w:rPr>
      </w:pPr>
    </w:p>
    <w:p w:rsidR="003413AB" w:rsidRPr="00CA3DA4" w:rsidRDefault="00811F59" w:rsidP="003413AB">
      <w:pPr>
        <w:ind w:hanging="11"/>
        <w:rPr>
          <w:b/>
        </w:rPr>
      </w:pPr>
      <w:r>
        <w:rPr>
          <w:b/>
        </w:rPr>
        <w:t>4</w:t>
      </w:r>
      <w:r w:rsidR="00AE729C" w:rsidRPr="00CA3DA4">
        <w:rPr>
          <w:b/>
        </w:rPr>
        <w:t>.2</w:t>
      </w:r>
      <w:r w:rsidR="00AE729C" w:rsidRPr="00CA3DA4">
        <w:rPr>
          <w:b/>
        </w:rPr>
        <w:tab/>
      </w:r>
      <w:r w:rsidR="003413AB" w:rsidRPr="00CA3DA4">
        <w:rPr>
          <w:b/>
        </w:rPr>
        <w:t>Borrowing Activity</w:t>
      </w:r>
    </w:p>
    <w:p w:rsidR="003413AB" w:rsidRPr="00CA3DA4" w:rsidRDefault="003413AB" w:rsidP="003413AB">
      <w:pPr>
        <w:ind w:hanging="11"/>
        <w:rPr>
          <w:b/>
        </w:rPr>
      </w:pPr>
    </w:p>
    <w:p w:rsidR="00920396" w:rsidRPr="00CA3DA4" w:rsidRDefault="003413AB" w:rsidP="00AD3E3C">
      <w:pPr>
        <w:ind w:hanging="11"/>
      </w:pPr>
      <w:r w:rsidRPr="00CA3DA4">
        <w:t xml:space="preserve">Current market conditions continue to enable the County Council to take advantage of short term market borrowing. The table below shows the borrowing activity which has taken place between </w:t>
      </w:r>
      <w:r w:rsidR="00AD3E3C" w:rsidRPr="00CA3DA4">
        <w:t>31 August 2014</w:t>
      </w:r>
      <w:r w:rsidR="00CA3DA4">
        <w:t xml:space="preserve"> and 30 Nov</w:t>
      </w:r>
      <w:r w:rsidR="00265411" w:rsidRPr="00CA3DA4">
        <w:t>ember 2014.</w:t>
      </w:r>
    </w:p>
    <w:p w:rsidR="00920396" w:rsidRPr="00CA3DA4" w:rsidRDefault="00920396" w:rsidP="00AD3E3C">
      <w:pPr>
        <w:ind w:hanging="11"/>
      </w:pPr>
    </w:p>
    <w:p w:rsidR="00AD3E3C" w:rsidRPr="00CA3DA4" w:rsidRDefault="00AD3E3C" w:rsidP="00AD3E3C">
      <w:pPr>
        <w:rPr>
          <w:b/>
        </w:rPr>
      </w:pPr>
    </w:p>
    <w:tbl>
      <w:tblPr>
        <w:tblW w:w="8530" w:type="dxa"/>
        <w:tblInd w:w="91" w:type="dxa"/>
        <w:tblLook w:val="04A0" w:firstRow="1" w:lastRow="0" w:firstColumn="1" w:lastColumn="0" w:noHBand="0" w:noVBand="1"/>
      </w:tblPr>
      <w:tblGrid>
        <w:gridCol w:w="1894"/>
        <w:gridCol w:w="906"/>
        <w:gridCol w:w="1200"/>
        <w:gridCol w:w="1200"/>
        <w:gridCol w:w="1200"/>
        <w:gridCol w:w="1200"/>
        <w:gridCol w:w="930"/>
      </w:tblGrid>
      <w:tr w:rsidR="00CA3DA4" w:rsidRPr="00CA3DA4" w:rsidTr="00575736">
        <w:trPr>
          <w:trHeight w:val="1020"/>
        </w:trPr>
        <w:tc>
          <w:tcPr>
            <w:tcW w:w="1894" w:type="dxa"/>
            <w:tcBorders>
              <w:top w:val="nil"/>
              <w:left w:val="nil"/>
              <w:bottom w:val="nil"/>
              <w:right w:val="nil"/>
            </w:tcBorders>
            <w:shd w:val="clear" w:color="auto" w:fill="auto"/>
            <w:vAlign w:val="bottom"/>
            <w:hideMark/>
          </w:tcPr>
          <w:p w:rsidR="00CA3DA4" w:rsidRDefault="00CA3DA4" w:rsidP="00CA3DA4">
            <w:pPr>
              <w:rPr>
                <w:rFonts w:ascii="Times New Roman" w:hAnsi="Times New Roman"/>
                <w:sz w:val="20"/>
              </w:rPr>
            </w:pPr>
          </w:p>
        </w:tc>
        <w:tc>
          <w:tcPr>
            <w:tcW w:w="906" w:type="dxa"/>
            <w:tcBorders>
              <w:top w:val="nil"/>
              <w:left w:val="nil"/>
              <w:bottom w:val="nil"/>
              <w:right w:val="nil"/>
            </w:tcBorders>
            <w:shd w:val="clear" w:color="auto" w:fill="auto"/>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PWLB Fixed</w:t>
            </w:r>
          </w:p>
        </w:tc>
        <w:tc>
          <w:tcPr>
            <w:tcW w:w="1200" w:type="dxa"/>
            <w:tcBorders>
              <w:top w:val="nil"/>
              <w:left w:val="nil"/>
              <w:bottom w:val="nil"/>
              <w:right w:val="nil"/>
            </w:tcBorders>
            <w:shd w:val="clear" w:color="auto" w:fill="auto"/>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 xml:space="preserve">PWLB </w:t>
            </w:r>
            <w:proofErr w:type="spellStart"/>
            <w:r>
              <w:rPr>
                <w:rFonts w:ascii="Calibri" w:hAnsi="Calibri" w:cs="Arial"/>
                <w:b/>
                <w:bCs/>
                <w:color w:val="000000"/>
                <w:sz w:val="20"/>
              </w:rPr>
              <w:t>Var</w:t>
            </w:r>
            <w:proofErr w:type="spellEnd"/>
          </w:p>
        </w:tc>
        <w:tc>
          <w:tcPr>
            <w:tcW w:w="1200" w:type="dxa"/>
            <w:tcBorders>
              <w:top w:val="nil"/>
              <w:left w:val="nil"/>
              <w:bottom w:val="nil"/>
              <w:right w:val="nil"/>
            </w:tcBorders>
            <w:shd w:val="clear" w:color="auto" w:fill="auto"/>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Long Term Market Loan</w:t>
            </w:r>
          </w:p>
        </w:tc>
        <w:tc>
          <w:tcPr>
            <w:tcW w:w="1200" w:type="dxa"/>
            <w:tcBorders>
              <w:top w:val="nil"/>
              <w:left w:val="nil"/>
              <w:bottom w:val="nil"/>
              <w:right w:val="nil"/>
            </w:tcBorders>
            <w:shd w:val="clear" w:color="auto" w:fill="auto"/>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Other Locals</w:t>
            </w:r>
          </w:p>
        </w:tc>
        <w:tc>
          <w:tcPr>
            <w:tcW w:w="1200" w:type="dxa"/>
            <w:tcBorders>
              <w:top w:val="nil"/>
              <w:left w:val="nil"/>
              <w:bottom w:val="nil"/>
              <w:right w:val="nil"/>
            </w:tcBorders>
            <w:shd w:val="clear" w:color="auto" w:fill="auto"/>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Police, Fire &amp; Lancashire District Councils</w:t>
            </w:r>
          </w:p>
        </w:tc>
        <w:tc>
          <w:tcPr>
            <w:tcW w:w="930" w:type="dxa"/>
            <w:tcBorders>
              <w:top w:val="nil"/>
              <w:left w:val="nil"/>
              <w:bottom w:val="nil"/>
              <w:right w:val="nil"/>
            </w:tcBorders>
            <w:shd w:val="clear" w:color="auto" w:fill="auto"/>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 xml:space="preserve"> Total </w:t>
            </w:r>
          </w:p>
        </w:tc>
      </w:tr>
      <w:tr w:rsidR="00CA3DA4" w:rsidRPr="00CA3DA4" w:rsidTr="00575736">
        <w:trPr>
          <w:trHeight w:val="300"/>
        </w:trPr>
        <w:tc>
          <w:tcPr>
            <w:tcW w:w="1894"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p>
        </w:tc>
        <w:tc>
          <w:tcPr>
            <w:tcW w:w="906"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c>
          <w:tcPr>
            <w:tcW w:w="93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£m</w:t>
            </w:r>
          </w:p>
        </w:tc>
      </w:tr>
      <w:tr w:rsidR="00CA3DA4" w:rsidRPr="00CA3DA4" w:rsidTr="00575736">
        <w:trPr>
          <w:trHeight w:val="510"/>
        </w:trPr>
        <w:tc>
          <w:tcPr>
            <w:tcW w:w="1894" w:type="dxa"/>
            <w:tcBorders>
              <w:top w:val="nil"/>
              <w:left w:val="nil"/>
              <w:bottom w:val="nil"/>
              <w:right w:val="nil"/>
            </w:tcBorders>
            <w:shd w:val="clear" w:color="auto" w:fill="auto"/>
            <w:vAlign w:val="bottom"/>
            <w:hideMark/>
          </w:tcPr>
          <w:p w:rsidR="00CA3DA4" w:rsidRDefault="00CA3DA4" w:rsidP="00CA3DA4">
            <w:pPr>
              <w:rPr>
                <w:rFonts w:ascii="Calibri" w:hAnsi="Calibri" w:cs="Arial"/>
                <w:b/>
                <w:bCs/>
                <w:color w:val="000000"/>
                <w:sz w:val="20"/>
              </w:rPr>
            </w:pPr>
            <w:r>
              <w:rPr>
                <w:rFonts w:ascii="Calibri" w:hAnsi="Calibri" w:cs="Arial"/>
                <w:b/>
                <w:bCs/>
                <w:color w:val="000000"/>
                <w:sz w:val="20"/>
              </w:rPr>
              <w:t>Balance 31 August 2014</w:t>
            </w:r>
          </w:p>
        </w:tc>
        <w:tc>
          <w:tcPr>
            <w:tcW w:w="906"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213.10</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125.75</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52.27</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507.27</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104.66</w:t>
            </w:r>
          </w:p>
        </w:tc>
        <w:tc>
          <w:tcPr>
            <w:tcW w:w="93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1,003.05</w:t>
            </w:r>
          </w:p>
        </w:tc>
      </w:tr>
      <w:tr w:rsidR="00CA3DA4" w:rsidRPr="00CA3DA4" w:rsidTr="00575736">
        <w:trPr>
          <w:trHeight w:val="300"/>
        </w:trPr>
        <w:tc>
          <w:tcPr>
            <w:tcW w:w="1894" w:type="dxa"/>
            <w:tcBorders>
              <w:top w:val="nil"/>
              <w:left w:val="nil"/>
              <w:bottom w:val="nil"/>
              <w:right w:val="nil"/>
            </w:tcBorders>
            <w:shd w:val="clear" w:color="auto" w:fill="auto"/>
            <w:noWrap/>
            <w:vAlign w:val="bottom"/>
            <w:hideMark/>
          </w:tcPr>
          <w:p w:rsidR="00CA3DA4" w:rsidRDefault="00CA3DA4" w:rsidP="00CA3DA4">
            <w:pPr>
              <w:rPr>
                <w:rFonts w:ascii="Calibri" w:hAnsi="Calibri" w:cs="Arial"/>
                <w:color w:val="000000"/>
                <w:sz w:val="20"/>
              </w:rPr>
            </w:pPr>
            <w:r>
              <w:rPr>
                <w:rFonts w:ascii="Calibri" w:hAnsi="Calibri" w:cs="Arial"/>
                <w:color w:val="000000"/>
                <w:sz w:val="20"/>
              </w:rPr>
              <w:t>Maturities</w:t>
            </w:r>
          </w:p>
        </w:tc>
        <w:tc>
          <w:tcPr>
            <w:tcW w:w="906"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0.00</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0.00</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0.00</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286.00</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139.55</w:t>
            </w:r>
          </w:p>
        </w:tc>
        <w:tc>
          <w:tcPr>
            <w:tcW w:w="93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425.55</w:t>
            </w:r>
          </w:p>
        </w:tc>
      </w:tr>
      <w:tr w:rsidR="00CA3DA4" w:rsidRPr="00CA3DA4" w:rsidTr="00575736">
        <w:trPr>
          <w:trHeight w:val="300"/>
        </w:trPr>
        <w:tc>
          <w:tcPr>
            <w:tcW w:w="1894" w:type="dxa"/>
            <w:tcBorders>
              <w:top w:val="nil"/>
              <w:left w:val="nil"/>
              <w:bottom w:val="nil"/>
              <w:right w:val="nil"/>
            </w:tcBorders>
            <w:shd w:val="clear" w:color="auto" w:fill="auto"/>
            <w:noWrap/>
            <w:vAlign w:val="bottom"/>
            <w:hideMark/>
          </w:tcPr>
          <w:p w:rsidR="00CA3DA4" w:rsidRDefault="00CA3DA4" w:rsidP="00CA3DA4">
            <w:pPr>
              <w:rPr>
                <w:rFonts w:ascii="Calibri" w:hAnsi="Calibri" w:cs="Arial"/>
                <w:color w:val="000000"/>
                <w:sz w:val="20"/>
              </w:rPr>
            </w:pPr>
            <w:r>
              <w:rPr>
                <w:rFonts w:ascii="Calibri" w:hAnsi="Calibri" w:cs="Arial"/>
                <w:color w:val="000000"/>
                <w:sz w:val="20"/>
              </w:rPr>
              <w:t>New Borrowing</w:t>
            </w:r>
          </w:p>
        </w:tc>
        <w:tc>
          <w:tcPr>
            <w:tcW w:w="906"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0.00</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0.00</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-0.38</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-157.25</w:t>
            </w:r>
          </w:p>
        </w:tc>
        <w:tc>
          <w:tcPr>
            <w:tcW w:w="120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-153.85</w:t>
            </w:r>
          </w:p>
        </w:tc>
        <w:tc>
          <w:tcPr>
            <w:tcW w:w="930"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r>
              <w:rPr>
                <w:rFonts w:ascii="Calibri" w:hAnsi="Calibri" w:cs="Arial"/>
                <w:color w:val="000000"/>
                <w:sz w:val="20"/>
              </w:rPr>
              <w:t>-311.48</w:t>
            </w:r>
          </w:p>
        </w:tc>
      </w:tr>
      <w:tr w:rsidR="00CA3DA4" w:rsidRPr="00CA3DA4" w:rsidTr="00575736">
        <w:trPr>
          <w:trHeight w:val="315"/>
        </w:trPr>
        <w:tc>
          <w:tcPr>
            <w:tcW w:w="1894" w:type="dxa"/>
            <w:tcBorders>
              <w:top w:val="nil"/>
              <w:left w:val="nil"/>
              <w:bottom w:val="nil"/>
              <w:right w:val="nil"/>
            </w:tcBorders>
            <w:shd w:val="clear" w:color="auto" w:fill="auto"/>
            <w:noWrap/>
            <w:vAlign w:val="bottom"/>
            <w:hideMark/>
          </w:tcPr>
          <w:p w:rsidR="00CA3DA4" w:rsidRDefault="00CA3DA4" w:rsidP="00CA3DA4">
            <w:pPr>
              <w:jc w:val="center"/>
              <w:rPr>
                <w:rFonts w:ascii="Calibri" w:hAnsi="Calibri" w:cs="Arial"/>
                <w:color w:val="000000"/>
                <w:sz w:val="20"/>
              </w:rPr>
            </w:pPr>
          </w:p>
        </w:tc>
        <w:tc>
          <w:tcPr>
            <w:tcW w:w="906" w:type="dxa"/>
            <w:tcBorders>
              <w:top w:val="nil"/>
              <w:left w:val="nil"/>
              <w:bottom w:val="nil"/>
              <w:right w:val="nil"/>
            </w:tcBorders>
            <w:shd w:val="clear" w:color="auto" w:fill="auto"/>
            <w:noWrap/>
            <w:vAlign w:val="bottom"/>
            <w:hideMark/>
          </w:tcPr>
          <w:p w:rsidR="00CA3DA4" w:rsidRDefault="00CA3DA4" w:rsidP="00CA3DA4">
            <w:pPr>
              <w:rPr>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rPr>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rPr>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rPr>
                <w:sz w:val="20"/>
              </w:rPr>
            </w:pPr>
          </w:p>
        </w:tc>
        <w:tc>
          <w:tcPr>
            <w:tcW w:w="1200" w:type="dxa"/>
            <w:tcBorders>
              <w:top w:val="nil"/>
              <w:left w:val="nil"/>
              <w:bottom w:val="nil"/>
              <w:right w:val="nil"/>
            </w:tcBorders>
            <w:shd w:val="clear" w:color="auto" w:fill="auto"/>
            <w:noWrap/>
            <w:vAlign w:val="bottom"/>
            <w:hideMark/>
          </w:tcPr>
          <w:p w:rsidR="00CA3DA4" w:rsidRDefault="00CA3DA4" w:rsidP="00CA3DA4">
            <w:pPr>
              <w:rPr>
                <w:sz w:val="20"/>
              </w:rPr>
            </w:pPr>
          </w:p>
        </w:tc>
        <w:tc>
          <w:tcPr>
            <w:tcW w:w="930" w:type="dxa"/>
            <w:tcBorders>
              <w:top w:val="nil"/>
              <w:left w:val="nil"/>
              <w:bottom w:val="nil"/>
              <w:right w:val="nil"/>
            </w:tcBorders>
            <w:shd w:val="clear" w:color="auto" w:fill="auto"/>
            <w:noWrap/>
            <w:vAlign w:val="bottom"/>
            <w:hideMark/>
          </w:tcPr>
          <w:p w:rsidR="00CA3DA4" w:rsidRDefault="00CA3DA4" w:rsidP="00CA3DA4">
            <w:pPr>
              <w:rPr>
                <w:sz w:val="20"/>
              </w:rPr>
            </w:pPr>
          </w:p>
        </w:tc>
      </w:tr>
      <w:tr w:rsidR="00CA3DA4" w:rsidRPr="00AD3E3C" w:rsidTr="00575736">
        <w:trPr>
          <w:trHeight w:val="309"/>
        </w:trPr>
        <w:tc>
          <w:tcPr>
            <w:tcW w:w="1894" w:type="dxa"/>
            <w:tcBorders>
              <w:top w:val="nil"/>
              <w:left w:val="nil"/>
              <w:bottom w:val="nil"/>
              <w:right w:val="nil"/>
            </w:tcBorders>
            <w:shd w:val="clear" w:color="auto" w:fill="auto"/>
            <w:vAlign w:val="bottom"/>
            <w:hideMark/>
          </w:tcPr>
          <w:p w:rsidR="00CA3DA4" w:rsidRDefault="00CA3DA4" w:rsidP="00CA3DA4">
            <w:pPr>
              <w:rPr>
                <w:rFonts w:ascii="Calibri" w:hAnsi="Calibri" w:cs="Arial"/>
                <w:b/>
                <w:bCs/>
                <w:color w:val="000000"/>
                <w:sz w:val="20"/>
              </w:rPr>
            </w:pPr>
            <w:r>
              <w:rPr>
                <w:rFonts w:ascii="Calibri" w:hAnsi="Calibri" w:cs="Arial"/>
                <w:b/>
                <w:bCs/>
                <w:color w:val="000000"/>
                <w:sz w:val="20"/>
              </w:rPr>
              <w:t>Balance 30 November 2014</w:t>
            </w:r>
          </w:p>
        </w:tc>
        <w:tc>
          <w:tcPr>
            <w:tcW w:w="906"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213.10</w:t>
            </w:r>
          </w:p>
        </w:tc>
        <w:tc>
          <w:tcPr>
            <w:tcW w:w="1200"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125.75</w:t>
            </w:r>
          </w:p>
        </w:tc>
        <w:tc>
          <w:tcPr>
            <w:tcW w:w="1200"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51.89</w:t>
            </w:r>
          </w:p>
        </w:tc>
        <w:tc>
          <w:tcPr>
            <w:tcW w:w="1200"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636.02</w:t>
            </w:r>
          </w:p>
        </w:tc>
        <w:tc>
          <w:tcPr>
            <w:tcW w:w="1200"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90.36</w:t>
            </w:r>
          </w:p>
        </w:tc>
        <w:tc>
          <w:tcPr>
            <w:tcW w:w="930" w:type="dxa"/>
            <w:tcBorders>
              <w:top w:val="single" w:sz="8" w:space="0" w:color="auto"/>
              <w:left w:val="nil"/>
              <w:bottom w:val="double" w:sz="6" w:space="0" w:color="auto"/>
              <w:right w:val="nil"/>
            </w:tcBorders>
            <w:shd w:val="clear" w:color="auto" w:fill="auto"/>
            <w:noWrap/>
            <w:vAlign w:val="bottom"/>
            <w:hideMark/>
          </w:tcPr>
          <w:p w:rsidR="00CA3DA4" w:rsidRDefault="00CA3DA4" w:rsidP="00CA3DA4">
            <w:pPr>
              <w:jc w:val="center"/>
              <w:rPr>
                <w:rFonts w:ascii="Calibri" w:hAnsi="Calibri" w:cs="Arial"/>
                <w:b/>
                <w:bCs/>
                <w:color w:val="000000"/>
                <w:sz w:val="20"/>
              </w:rPr>
            </w:pPr>
            <w:r>
              <w:rPr>
                <w:rFonts w:ascii="Calibri" w:hAnsi="Calibri" w:cs="Arial"/>
                <w:b/>
                <w:bCs/>
                <w:color w:val="000000"/>
                <w:sz w:val="20"/>
              </w:rPr>
              <w:t>1,117.12</w:t>
            </w:r>
          </w:p>
        </w:tc>
      </w:tr>
    </w:tbl>
    <w:p w:rsidR="00651796" w:rsidRDefault="00651796" w:rsidP="003413AB">
      <w:pPr>
        <w:ind w:hanging="11"/>
      </w:pPr>
    </w:p>
    <w:p w:rsidR="00AD3E3C" w:rsidRDefault="00AD3E3C" w:rsidP="003413AB">
      <w:pPr>
        <w:rPr>
          <w:rFonts w:cs="Arial"/>
          <w:color w:val="000000"/>
          <w:szCs w:val="24"/>
        </w:rPr>
      </w:pPr>
    </w:p>
    <w:p w:rsidR="003413AB" w:rsidRPr="00CA3DA4" w:rsidRDefault="00792CF2" w:rsidP="005D3268">
      <w:pPr>
        <w:jc w:val="both"/>
        <w:rPr>
          <w:rFonts w:cs="Arial"/>
          <w:color w:val="000000"/>
          <w:szCs w:val="24"/>
        </w:rPr>
      </w:pPr>
      <w:r w:rsidRPr="00CA3DA4">
        <w:rPr>
          <w:rFonts w:cs="Arial"/>
          <w:color w:val="000000"/>
          <w:szCs w:val="24"/>
        </w:rPr>
        <w:t>Treasury b</w:t>
      </w:r>
      <w:r w:rsidR="004F1BA8" w:rsidRPr="00CA3DA4">
        <w:rPr>
          <w:rFonts w:cs="Arial"/>
          <w:color w:val="000000"/>
          <w:szCs w:val="24"/>
        </w:rPr>
        <w:t xml:space="preserve">orrowing has </w:t>
      </w:r>
      <w:r w:rsidR="00AD3E3C" w:rsidRPr="00CA3DA4">
        <w:rPr>
          <w:rFonts w:cs="Arial"/>
          <w:color w:val="000000"/>
          <w:szCs w:val="24"/>
        </w:rPr>
        <w:t>increased</w:t>
      </w:r>
      <w:r w:rsidR="004F1BA8" w:rsidRPr="00CA3DA4">
        <w:rPr>
          <w:rFonts w:cs="Arial"/>
          <w:color w:val="000000"/>
          <w:szCs w:val="24"/>
        </w:rPr>
        <w:t xml:space="preserve"> over the period</w:t>
      </w:r>
      <w:r w:rsidR="00AD3E3C" w:rsidRPr="00CA3DA4">
        <w:rPr>
          <w:rFonts w:cs="Arial"/>
          <w:color w:val="000000"/>
          <w:szCs w:val="24"/>
        </w:rPr>
        <w:t xml:space="preserve">, </w:t>
      </w:r>
      <w:r w:rsidR="00811F59">
        <w:rPr>
          <w:rFonts w:cs="Arial"/>
          <w:color w:val="000000"/>
          <w:szCs w:val="24"/>
        </w:rPr>
        <w:t>for cash flow and portfolio management</w:t>
      </w:r>
      <w:r w:rsidRPr="00CA3DA4">
        <w:rPr>
          <w:rFonts w:cs="Arial"/>
          <w:color w:val="000000"/>
          <w:szCs w:val="24"/>
        </w:rPr>
        <w:t xml:space="preserve"> </w:t>
      </w:r>
      <w:r w:rsidR="00811F59">
        <w:rPr>
          <w:rFonts w:cs="Arial"/>
          <w:color w:val="000000"/>
          <w:szCs w:val="24"/>
        </w:rPr>
        <w:t>purposes.</w:t>
      </w:r>
      <w:r w:rsidRPr="00CA3DA4">
        <w:rPr>
          <w:rFonts w:cs="Arial"/>
          <w:color w:val="000000"/>
          <w:szCs w:val="24"/>
        </w:rPr>
        <w:t xml:space="preserve"> T</w:t>
      </w:r>
      <w:r w:rsidR="00A721AC" w:rsidRPr="00CA3DA4">
        <w:rPr>
          <w:rFonts w:cs="Arial"/>
          <w:color w:val="000000"/>
          <w:szCs w:val="24"/>
        </w:rPr>
        <w:t>otal borrowing now stand</w:t>
      </w:r>
      <w:r w:rsidRPr="00CA3DA4">
        <w:rPr>
          <w:rFonts w:cs="Arial"/>
          <w:color w:val="000000"/>
          <w:szCs w:val="24"/>
        </w:rPr>
        <w:t>s</w:t>
      </w:r>
      <w:r w:rsidR="004F1BA8" w:rsidRPr="00CA3DA4">
        <w:rPr>
          <w:rFonts w:cs="Arial"/>
          <w:color w:val="000000"/>
          <w:szCs w:val="24"/>
        </w:rPr>
        <w:t xml:space="preserve"> </w:t>
      </w:r>
      <w:r w:rsidR="00A721AC" w:rsidRPr="00CA3DA4">
        <w:rPr>
          <w:rFonts w:cs="Arial"/>
          <w:color w:val="000000"/>
          <w:szCs w:val="24"/>
        </w:rPr>
        <w:t>at</w:t>
      </w:r>
      <w:r w:rsidR="00CA3DA4" w:rsidRPr="00CA3DA4">
        <w:rPr>
          <w:rFonts w:cs="Arial"/>
          <w:color w:val="000000"/>
          <w:szCs w:val="24"/>
        </w:rPr>
        <w:t xml:space="preserve"> £1.</w:t>
      </w:r>
      <w:r w:rsidR="008D7E16">
        <w:rPr>
          <w:rFonts w:cs="Arial"/>
          <w:color w:val="000000"/>
          <w:szCs w:val="24"/>
        </w:rPr>
        <w:t>2</w:t>
      </w:r>
      <w:r w:rsidR="00CA3DA4" w:rsidRPr="00CA3DA4">
        <w:rPr>
          <w:rFonts w:cs="Arial"/>
          <w:color w:val="000000"/>
          <w:szCs w:val="24"/>
        </w:rPr>
        <w:t>36</w:t>
      </w:r>
      <w:r w:rsidR="00AD3E3C" w:rsidRPr="00CA3DA4">
        <w:rPr>
          <w:rFonts w:cs="Arial"/>
          <w:color w:val="000000"/>
          <w:szCs w:val="24"/>
        </w:rPr>
        <w:t>bn</w:t>
      </w:r>
      <w:r w:rsidR="003413AB" w:rsidRPr="00CA3DA4">
        <w:rPr>
          <w:rFonts w:cs="Arial"/>
          <w:color w:val="000000"/>
          <w:szCs w:val="24"/>
        </w:rPr>
        <w:t xml:space="preserve"> including the financing of £</w:t>
      </w:r>
      <w:r w:rsidR="00AD3E3C" w:rsidRPr="00CA3DA4">
        <w:rPr>
          <w:rFonts w:cs="Arial"/>
          <w:color w:val="000000"/>
          <w:szCs w:val="24"/>
        </w:rPr>
        <w:t>119</w:t>
      </w:r>
      <w:r w:rsidR="003413AB" w:rsidRPr="00CA3DA4">
        <w:rPr>
          <w:rFonts w:cs="Arial"/>
          <w:color w:val="000000"/>
          <w:szCs w:val="24"/>
        </w:rPr>
        <w:t>m of assets through Private Finance Initiative schemes.</w:t>
      </w:r>
      <w:r w:rsidR="004F1BA8" w:rsidRPr="00CA3DA4">
        <w:rPr>
          <w:rFonts w:cs="Arial"/>
          <w:color w:val="000000"/>
          <w:szCs w:val="24"/>
        </w:rPr>
        <w:t xml:space="preserve"> </w:t>
      </w:r>
    </w:p>
    <w:p w:rsidR="00D14083" w:rsidRPr="00CA3DA4" w:rsidRDefault="00D14083" w:rsidP="005D3268">
      <w:pPr>
        <w:jc w:val="both"/>
        <w:rPr>
          <w:rFonts w:cs="Arial"/>
          <w:color w:val="000000"/>
          <w:szCs w:val="24"/>
        </w:rPr>
      </w:pPr>
    </w:p>
    <w:p w:rsidR="003303E9" w:rsidRDefault="003303E9" w:rsidP="005D3268">
      <w:pPr>
        <w:jc w:val="both"/>
      </w:pPr>
      <w:r w:rsidRPr="00CA3DA4">
        <w:t xml:space="preserve">The graph below shows the level of debt for each day of the current financial year compared with the prudential indicator operational and authorised boundaries. </w:t>
      </w:r>
      <w:r w:rsidR="000017CE">
        <w:t>In June t</w:t>
      </w:r>
      <w:r w:rsidRPr="00CA3DA4">
        <w:t>he</w:t>
      </w:r>
      <w:r w:rsidR="000017CE">
        <w:t xml:space="preserve"> boundaries were temporarily increased to provide room for a possible bond issuance</w:t>
      </w:r>
      <w:r w:rsidR="007B09CE">
        <w:t xml:space="preserve"> to replace the current method of short term market borrowing</w:t>
      </w:r>
      <w:r w:rsidR="00CE1E64">
        <w:t xml:space="preserve">. </w:t>
      </w:r>
    </w:p>
    <w:p w:rsidR="00007D5C" w:rsidRPr="00CA3DA4" w:rsidRDefault="00007D5C" w:rsidP="005D3268">
      <w:pPr>
        <w:jc w:val="both"/>
      </w:pPr>
    </w:p>
    <w:p w:rsidR="003303E9" w:rsidRDefault="003303E9" w:rsidP="003303E9">
      <w:pPr>
        <w:rPr>
          <w:highlight w:val="yellow"/>
        </w:rPr>
      </w:pPr>
    </w:p>
    <w:p w:rsidR="000017CE" w:rsidRPr="00DC602A" w:rsidRDefault="000017CE" w:rsidP="003303E9">
      <w:pPr>
        <w:rPr>
          <w:highlight w:val="yellow"/>
        </w:rPr>
      </w:pPr>
      <w:r>
        <w:rPr>
          <w:noProof/>
          <w:highlight w:val="yellow"/>
        </w:rPr>
        <w:lastRenderedPageBreak/>
        <w:drawing>
          <wp:inline distT="0" distB="0" distL="0" distR="0" wp14:anchorId="60D0DFAD" wp14:editId="4821DCF1">
            <wp:extent cx="5898768" cy="32575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675" cy="3261365"/>
                    </a:xfrm>
                    <a:prstGeom prst="rect">
                      <a:avLst/>
                    </a:prstGeom>
                    <a:noFill/>
                  </pic:spPr>
                </pic:pic>
              </a:graphicData>
            </a:graphic>
          </wp:inline>
        </w:drawing>
      </w:r>
    </w:p>
    <w:p w:rsidR="003303E9" w:rsidRDefault="003303E9" w:rsidP="003303E9">
      <w:pPr>
        <w:pStyle w:val="ListParagraph"/>
        <w:ind w:left="0"/>
        <w:rPr>
          <w:szCs w:val="24"/>
        </w:rPr>
      </w:pPr>
    </w:p>
    <w:p w:rsidR="00C0388E" w:rsidRDefault="00C56E65" w:rsidP="000F0A43">
      <w:pPr>
        <w:pStyle w:val="ListParagraph"/>
        <w:ind w:left="0"/>
        <w:jc w:val="both"/>
        <w:rPr>
          <w:rFonts w:cs="Arial"/>
          <w:color w:val="000000"/>
          <w:szCs w:val="24"/>
        </w:rPr>
      </w:pPr>
      <w:r>
        <w:rPr>
          <w:szCs w:val="24"/>
        </w:rPr>
        <w:t>Total debt during the year has remained below the original operating boundary.</w:t>
      </w:r>
    </w:p>
    <w:p w:rsidR="006C25A0" w:rsidRDefault="006C25A0" w:rsidP="005D3268">
      <w:pPr>
        <w:jc w:val="both"/>
        <w:rPr>
          <w:rFonts w:cs="Arial"/>
          <w:b/>
          <w:color w:val="000000"/>
          <w:szCs w:val="24"/>
        </w:rPr>
      </w:pPr>
    </w:p>
    <w:p w:rsidR="006C1AAD" w:rsidRDefault="00651796" w:rsidP="005D3268">
      <w:pPr>
        <w:jc w:val="both"/>
        <w:rPr>
          <w:rFonts w:cs="Arial"/>
          <w:b/>
          <w:color w:val="000000"/>
          <w:szCs w:val="24"/>
        </w:rPr>
      </w:pPr>
      <w:r w:rsidRPr="009D726B">
        <w:rPr>
          <w:rFonts w:cs="Arial"/>
          <w:color w:val="000000"/>
          <w:szCs w:val="24"/>
        </w:rPr>
        <w:t xml:space="preserve">The current interest rate payable on debt measured by </w:t>
      </w:r>
      <w:proofErr w:type="spellStart"/>
      <w:r w:rsidRPr="009D726B">
        <w:rPr>
          <w:rFonts w:cs="Arial"/>
          <w:color w:val="000000"/>
          <w:szCs w:val="24"/>
        </w:rPr>
        <w:t>Arlingclose</w:t>
      </w:r>
      <w:proofErr w:type="spellEnd"/>
      <w:r w:rsidRPr="009D726B">
        <w:rPr>
          <w:rFonts w:cs="Arial"/>
          <w:color w:val="000000"/>
          <w:szCs w:val="24"/>
        </w:rPr>
        <w:t xml:space="preserve"> Ltd treasury consultants is </w:t>
      </w:r>
      <w:r w:rsidR="009D726B" w:rsidRPr="009D726B">
        <w:rPr>
          <w:rFonts w:cs="Arial"/>
          <w:color w:val="000000"/>
          <w:szCs w:val="24"/>
        </w:rPr>
        <w:t>1.59</w:t>
      </w:r>
      <w:r w:rsidR="006B2962" w:rsidRPr="009D726B">
        <w:rPr>
          <w:rFonts w:cs="Arial"/>
          <w:color w:val="000000"/>
          <w:szCs w:val="24"/>
        </w:rPr>
        <w:t>%</w:t>
      </w:r>
      <w:r w:rsidR="007433DB" w:rsidRPr="009D726B">
        <w:rPr>
          <w:rFonts w:cs="Arial"/>
          <w:color w:val="000000"/>
          <w:szCs w:val="24"/>
        </w:rPr>
        <w:t xml:space="preserve">. </w:t>
      </w:r>
      <w:r w:rsidR="0057045E">
        <w:rPr>
          <w:rFonts w:cs="Arial"/>
          <w:color w:val="000000"/>
          <w:szCs w:val="24"/>
        </w:rPr>
        <w:t>The most recent benchmarking figure available is the</w:t>
      </w:r>
      <w:r w:rsidR="001128CC" w:rsidRPr="009D726B">
        <w:rPr>
          <w:rFonts w:cs="Arial"/>
          <w:color w:val="000000"/>
          <w:szCs w:val="24"/>
        </w:rPr>
        <w:t xml:space="preserve"> average rate for all </w:t>
      </w:r>
      <w:proofErr w:type="spellStart"/>
      <w:r w:rsidR="007433DB" w:rsidRPr="009D726B">
        <w:rPr>
          <w:rFonts w:cs="Arial"/>
          <w:color w:val="000000"/>
          <w:szCs w:val="24"/>
        </w:rPr>
        <w:t>Arlingclose</w:t>
      </w:r>
      <w:proofErr w:type="spellEnd"/>
      <w:r w:rsidR="007433DB" w:rsidRPr="009D726B">
        <w:rPr>
          <w:rFonts w:cs="Arial"/>
          <w:color w:val="000000"/>
          <w:szCs w:val="24"/>
        </w:rPr>
        <w:t xml:space="preserve"> clients </w:t>
      </w:r>
      <w:r w:rsidR="0057045E">
        <w:rPr>
          <w:rFonts w:cs="Arial"/>
          <w:color w:val="000000"/>
          <w:szCs w:val="24"/>
        </w:rPr>
        <w:t>measured on 31 March 2014 of</w:t>
      </w:r>
      <w:r w:rsidR="001128CC" w:rsidRPr="009D726B">
        <w:rPr>
          <w:rFonts w:cs="Arial"/>
          <w:color w:val="000000"/>
          <w:szCs w:val="24"/>
        </w:rPr>
        <w:t xml:space="preserve"> </w:t>
      </w:r>
      <w:r w:rsidR="007433DB" w:rsidRPr="009D726B">
        <w:rPr>
          <w:rFonts w:cs="Arial"/>
          <w:color w:val="000000"/>
          <w:szCs w:val="24"/>
        </w:rPr>
        <w:t>4.14</w:t>
      </w:r>
      <w:r w:rsidR="001128CC" w:rsidRPr="009D726B">
        <w:rPr>
          <w:rFonts w:cs="Arial"/>
          <w:color w:val="000000"/>
          <w:szCs w:val="24"/>
        </w:rPr>
        <w:t>%.</w:t>
      </w:r>
    </w:p>
    <w:p w:rsidR="004F1BA8" w:rsidRDefault="004F1BA8" w:rsidP="006C1AAD">
      <w:pPr>
        <w:rPr>
          <w:b/>
        </w:rPr>
      </w:pPr>
    </w:p>
    <w:p w:rsidR="00C53850" w:rsidRPr="00C53850" w:rsidRDefault="00C53850" w:rsidP="00C53850">
      <w:pPr>
        <w:pStyle w:val="ListParagraph"/>
        <w:numPr>
          <w:ilvl w:val="0"/>
          <w:numId w:val="22"/>
        </w:numPr>
        <w:ind w:left="0" w:firstLine="0"/>
        <w:rPr>
          <w:b/>
        </w:rPr>
      </w:pPr>
      <w:r w:rsidRPr="00C53850">
        <w:rPr>
          <w:b/>
        </w:rPr>
        <w:t xml:space="preserve">Investment in </w:t>
      </w:r>
      <w:proofErr w:type="spellStart"/>
      <w:r w:rsidRPr="00C53850">
        <w:rPr>
          <w:b/>
        </w:rPr>
        <w:t>Landsbanki</w:t>
      </w:r>
      <w:proofErr w:type="spellEnd"/>
      <w:r w:rsidRPr="00C53850">
        <w:rPr>
          <w:b/>
        </w:rPr>
        <w:t xml:space="preserve"> Is.</w:t>
      </w:r>
    </w:p>
    <w:p w:rsidR="00C53850" w:rsidRDefault="00C53850" w:rsidP="005D3268">
      <w:pPr>
        <w:jc w:val="both"/>
        <w:rPr>
          <w:b/>
        </w:rPr>
      </w:pPr>
      <w:r w:rsidRPr="000047C4">
        <w:t>Under the previous Treasury Management Strategy, Lancashire County Council made a £6.4m deposit with the Ic</w:t>
      </w:r>
      <w:r>
        <w:t xml:space="preserve">elandic Bank </w:t>
      </w:r>
      <w:proofErr w:type="spellStart"/>
      <w:r>
        <w:t>Landsbanki</w:t>
      </w:r>
      <w:proofErr w:type="spellEnd"/>
      <w:r>
        <w:t xml:space="preserve"> Is</w:t>
      </w:r>
      <w:r w:rsidRPr="000047C4">
        <w:t xml:space="preserve"> which was still on deposit when the bank collapsed in October 2008.</w:t>
      </w:r>
      <w:r w:rsidR="0057045E">
        <w:t xml:space="preserve"> During the </w:t>
      </w:r>
      <w:r w:rsidR="0094199A">
        <w:t>administration</w:t>
      </w:r>
      <w:r w:rsidR="0057045E">
        <w:t xml:space="preserve"> process</w:t>
      </w:r>
      <w:r w:rsidR="00624BDD">
        <w:t xml:space="preserve"> 52% of the claim was</w:t>
      </w:r>
      <w:r w:rsidRPr="000047C4">
        <w:t xml:space="preserve"> </w:t>
      </w:r>
      <w:r w:rsidR="0094199A">
        <w:t xml:space="preserve">repaid through </w:t>
      </w:r>
      <w:r w:rsidRPr="000047C4">
        <w:t>distribu</w:t>
      </w:r>
      <w:r w:rsidR="00624BDD">
        <w:t>t</w:t>
      </w:r>
      <w:r w:rsidR="0094199A">
        <w:t>ions by</w:t>
      </w:r>
      <w:r w:rsidRPr="000047C4">
        <w:t xml:space="preserve"> the bank winding up board</w:t>
      </w:r>
      <w:r w:rsidR="0094199A">
        <w:t xml:space="preserve"> and the remainder of the claim was sold at the end of November.</w:t>
      </w:r>
      <w:r w:rsidR="00624BDD">
        <w:t xml:space="preserve"> </w:t>
      </w:r>
      <w:r w:rsidR="0094199A">
        <w:t xml:space="preserve">After taking into account the principal and interest distributions and sale proceeds, </w:t>
      </w:r>
      <w:r w:rsidR="00C80819">
        <w:t xml:space="preserve">Icelandic Krona exchange rate and </w:t>
      </w:r>
      <w:r w:rsidR="0094199A">
        <w:t>legal costs</w:t>
      </w:r>
      <w:r w:rsidR="00F11CB8">
        <w:rPr>
          <w:szCs w:val="24"/>
        </w:rPr>
        <w:t xml:space="preserve"> the</w:t>
      </w:r>
      <w:r w:rsidR="0080105A">
        <w:rPr>
          <w:szCs w:val="24"/>
        </w:rPr>
        <w:t>re is a loss of £476k</w:t>
      </w:r>
      <w:r>
        <w:rPr>
          <w:szCs w:val="24"/>
        </w:rPr>
        <w:t xml:space="preserve"> of the original £10m principal</w:t>
      </w:r>
      <w:r w:rsidR="00DB1576">
        <w:rPr>
          <w:szCs w:val="24"/>
        </w:rPr>
        <w:t xml:space="preserve"> invested</w:t>
      </w:r>
      <w:r>
        <w:rPr>
          <w:szCs w:val="24"/>
        </w:rPr>
        <w:t>. Th</w:t>
      </w:r>
      <w:r w:rsidR="0080105A">
        <w:rPr>
          <w:szCs w:val="24"/>
        </w:rPr>
        <w:t>is</w:t>
      </w:r>
      <w:r>
        <w:rPr>
          <w:szCs w:val="24"/>
        </w:rPr>
        <w:t xml:space="preserve"> </w:t>
      </w:r>
      <w:r w:rsidR="0080105A">
        <w:rPr>
          <w:szCs w:val="24"/>
        </w:rPr>
        <w:t xml:space="preserve">will not cause </w:t>
      </w:r>
      <w:proofErr w:type="gramStart"/>
      <w:r w:rsidR="0080105A">
        <w:rPr>
          <w:szCs w:val="24"/>
        </w:rPr>
        <w:t>an overspend</w:t>
      </w:r>
      <w:proofErr w:type="gramEnd"/>
      <w:r w:rsidR="0080105A">
        <w:rPr>
          <w:szCs w:val="24"/>
        </w:rPr>
        <w:t xml:space="preserve"> against the budget as it can be met from other investment income </w:t>
      </w:r>
      <w:r w:rsidR="00DB1576">
        <w:rPr>
          <w:szCs w:val="24"/>
        </w:rPr>
        <w:t xml:space="preserve">within </w:t>
      </w:r>
      <w:r>
        <w:rPr>
          <w:szCs w:val="24"/>
        </w:rPr>
        <w:t>the Council's financing charges budget</w:t>
      </w:r>
      <w:r w:rsidR="0080105A">
        <w:rPr>
          <w:szCs w:val="24"/>
        </w:rPr>
        <w:t xml:space="preserve"> which is</w:t>
      </w:r>
      <w:r w:rsidR="00F525AB">
        <w:rPr>
          <w:szCs w:val="24"/>
        </w:rPr>
        <w:t xml:space="preserve"> </w:t>
      </w:r>
      <w:r w:rsidR="005D3268">
        <w:rPr>
          <w:szCs w:val="24"/>
        </w:rPr>
        <w:t>set out below.</w:t>
      </w:r>
    </w:p>
    <w:p w:rsidR="00007D5C" w:rsidRDefault="00007D5C" w:rsidP="006C1AAD">
      <w:pPr>
        <w:rPr>
          <w:b/>
        </w:rPr>
      </w:pPr>
    </w:p>
    <w:p w:rsidR="00C53850" w:rsidRPr="00C53850" w:rsidRDefault="00C53850" w:rsidP="00C53850">
      <w:pPr>
        <w:pStyle w:val="ListParagraph"/>
        <w:ind w:left="360"/>
        <w:rPr>
          <w:highlight w:val="yellow"/>
        </w:rPr>
      </w:pPr>
    </w:p>
    <w:p w:rsidR="006C1AAD" w:rsidRDefault="006C1AAD" w:rsidP="00DE4795">
      <w:pPr>
        <w:pStyle w:val="ListParagraph"/>
        <w:numPr>
          <w:ilvl w:val="0"/>
          <w:numId w:val="23"/>
        </w:numPr>
        <w:ind w:left="0" w:firstLine="0"/>
      </w:pPr>
      <w:r w:rsidRPr="00C53850">
        <w:rPr>
          <w:b/>
        </w:rPr>
        <w:t>Budget Monitoring Position</w:t>
      </w:r>
      <w:r w:rsidR="005D1E01" w:rsidRPr="00C53850">
        <w:rPr>
          <w:b/>
        </w:rPr>
        <w:t xml:space="preserve"> </w:t>
      </w:r>
    </w:p>
    <w:p w:rsidR="00D14083" w:rsidRDefault="00007D5C" w:rsidP="005D3268">
      <w:pPr>
        <w:jc w:val="both"/>
      </w:pPr>
      <w:r>
        <w:t>T</w:t>
      </w:r>
      <w:r w:rsidR="00D14083" w:rsidRPr="009D726B">
        <w:t xml:space="preserve">he financing charges budget </w:t>
      </w:r>
      <w:r w:rsidR="00906E7A" w:rsidRPr="009D726B">
        <w:t xml:space="preserve">is forecasted to </w:t>
      </w:r>
      <w:r w:rsidR="00FF2B3B" w:rsidRPr="009D726B">
        <w:t>be £</w:t>
      </w:r>
      <w:r w:rsidR="009D726B" w:rsidRPr="009D726B">
        <w:t>7</w:t>
      </w:r>
      <w:r w:rsidR="00597625" w:rsidRPr="009D726B">
        <w:t>m underspen</w:t>
      </w:r>
      <w:r w:rsidR="00BD4F2E">
        <w:t>t</w:t>
      </w:r>
      <w:r w:rsidR="00597625" w:rsidRPr="009D726B">
        <w:t xml:space="preserve"> </w:t>
      </w:r>
      <w:r w:rsidR="00BD4F2E">
        <w:t>compared with</w:t>
      </w:r>
      <w:r w:rsidR="00D14083" w:rsidRPr="009D726B">
        <w:t xml:space="preserve"> budget at the end of the financial year.</w:t>
      </w:r>
      <w:r w:rsidR="001D1580" w:rsidRPr="009D726B">
        <w:t xml:space="preserve">  </w:t>
      </w:r>
      <w:r w:rsidR="00010EF9">
        <w:t xml:space="preserve">The latest underspend position will be reported to Cabinet at its meeting on </w:t>
      </w:r>
      <w:r w:rsidR="009D6351">
        <w:t>5 February.</w:t>
      </w:r>
    </w:p>
    <w:p w:rsidR="00156696" w:rsidRDefault="00156696" w:rsidP="005D3268">
      <w:pPr>
        <w:jc w:val="both"/>
      </w:pPr>
    </w:p>
    <w:p w:rsidR="00156696" w:rsidRDefault="00156696" w:rsidP="005D3268">
      <w:pPr>
        <w:jc w:val="both"/>
      </w:pPr>
      <w:r>
        <w:t xml:space="preserve">The </w:t>
      </w:r>
      <w:r w:rsidR="007E292D">
        <w:t>majority</w:t>
      </w:r>
      <w:r>
        <w:t xml:space="preserve"> of </w:t>
      </w:r>
      <w:proofErr w:type="gramStart"/>
      <w:r>
        <w:t>the underspend</w:t>
      </w:r>
      <w:proofErr w:type="gramEnd"/>
      <w:r>
        <w:t xml:space="preserve"> is due to the outperformance of the County Council's </w:t>
      </w:r>
      <w:r w:rsidR="00A91E53">
        <w:t>bond</w:t>
      </w:r>
      <w:r>
        <w:t xml:space="preserve"> portfolios </w:t>
      </w:r>
      <w:r w:rsidR="007E292D">
        <w:t xml:space="preserve">during the last six months. </w:t>
      </w:r>
      <w:r w:rsidR="00A91E53">
        <w:t>Portfolio risk management in recent volatile markets has forced the turnover of the portfolios on a frequent basis and this crystallises the increase in the market value of these 'quality' assets.</w:t>
      </w:r>
    </w:p>
    <w:p w:rsidR="00A91E53" w:rsidRDefault="00A91E53" w:rsidP="005D3268">
      <w:pPr>
        <w:jc w:val="both"/>
      </w:pPr>
    </w:p>
    <w:p w:rsidR="00A91E53" w:rsidRPr="009D726B" w:rsidRDefault="00A91E53" w:rsidP="005D3268">
      <w:pPr>
        <w:jc w:val="both"/>
      </w:pPr>
      <w:r>
        <w:lastRenderedPageBreak/>
        <w:t>In addition there is a reduction of interest payments following the refinancing of the Waste PFI project.</w:t>
      </w:r>
    </w:p>
    <w:p w:rsidR="00AD3E3C" w:rsidRPr="009D726B" w:rsidRDefault="00AD3E3C" w:rsidP="005D3268">
      <w:pPr>
        <w:jc w:val="both"/>
      </w:pPr>
    </w:p>
    <w:p w:rsidR="002F0B22" w:rsidRDefault="00D14083" w:rsidP="005D3268">
      <w:pPr>
        <w:jc w:val="both"/>
        <w:rPr>
          <w:rFonts w:cs="Arial"/>
          <w:b/>
          <w:color w:val="000000"/>
          <w:szCs w:val="24"/>
        </w:rPr>
      </w:pPr>
      <w:r w:rsidRPr="009D726B">
        <w:t>This position is kept under regular review taking account both of</w:t>
      </w:r>
      <w:r w:rsidR="00A91E53">
        <w:t xml:space="preserve"> </w:t>
      </w:r>
      <w:r w:rsidRPr="009D726B">
        <w:t>ongoing</w:t>
      </w:r>
      <w:r w:rsidR="00A91E53">
        <w:t xml:space="preserve"> </w:t>
      </w:r>
      <w:r w:rsidRPr="009D726B">
        <w:t>performance and also market movements and the forecast is provided to the County Treasurer on a monthly basis.</w:t>
      </w:r>
    </w:p>
    <w:p w:rsidR="006C25A0" w:rsidRDefault="006C25A0" w:rsidP="00D369EF">
      <w:pPr>
        <w:rPr>
          <w:rFonts w:cs="Arial"/>
          <w:b/>
          <w:color w:val="000000"/>
          <w:szCs w:val="24"/>
        </w:rPr>
      </w:pPr>
    </w:p>
    <w:p w:rsidR="005D3268" w:rsidRDefault="005D3268" w:rsidP="00D369EF">
      <w:pPr>
        <w:rPr>
          <w:rFonts w:cs="Arial"/>
          <w:b/>
          <w:color w:val="000000"/>
          <w:szCs w:val="24"/>
        </w:rPr>
      </w:pPr>
    </w:p>
    <w:p w:rsidR="00C0388E" w:rsidRPr="006B2962" w:rsidRDefault="009071F8" w:rsidP="00A91E53">
      <w:pPr>
        <w:pStyle w:val="ListParagraph"/>
        <w:numPr>
          <w:ilvl w:val="0"/>
          <w:numId w:val="23"/>
        </w:numPr>
        <w:ind w:left="0" w:firstLine="0"/>
        <w:rPr>
          <w:rFonts w:cs="Arial"/>
          <w:color w:val="000000"/>
          <w:szCs w:val="24"/>
        </w:rPr>
      </w:pPr>
      <w:r w:rsidRPr="00D57100">
        <w:rPr>
          <w:b/>
          <w:szCs w:val="24"/>
        </w:rPr>
        <w:t>Prudential Indicators 2013/14</w:t>
      </w:r>
    </w:p>
    <w:p w:rsidR="009071F8" w:rsidRPr="00BD35DF" w:rsidRDefault="009071F8" w:rsidP="005D3268">
      <w:pPr>
        <w:jc w:val="both"/>
        <w:rPr>
          <w:b/>
          <w:szCs w:val="24"/>
        </w:rPr>
      </w:pPr>
      <w:r w:rsidRPr="00BD35DF">
        <w:rPr>
          <w:szCs w:val="24"/>
        </w:rPr>
        <w:t>The Local Government Act 2003 and supporting regulations require the County Council to have regard to the prudential code and to set prudential indicators to ensure the County Council's capital investment plans are affordable, prudent and sustainable</w:t>
      </w:r>
      <w:r w:rsidRPr="00BD35DF">
        <w:rPr>
          <w:b/>
          <w:szCs w:val="24"/>
        </w:rPr>
        <w:t>.</w:t>
      </w:r>
    </w:p>
    <w:p w:rsidR="009071F8" w:rsidRPr="00BD35DF" w:rsidRDefault="009071F8" w:rsidP="005D3268">
      <w:pPr>
        <w:jc w:val="both"/>
        <w:rPr>
          <w:b/>
          <w:szCs w:val="24"/>
        </w:rPr>
      </w:pPr>
    </w:p>
    <w:p w:rsidR="009071F8" w:rsidRPr="00BD35DF" w:rsidRDefault="009071F8" w:rsidP="005D3268">
      <w:pPr>
        <w:jc w:val="both"/>
        <w:rPr>
          <w:szCs w:val="24"/>
        </w:rPr>
      </w:pPr>
      <w:r w:rsidRPr="00BD35DF">
        <w:rPr>
          <w:szCs w:val="24"/>
        </w:rPr>
        <w:t xml:space="preserve">A comparison of the actual position at </w:t>
      </w:r>
      <w:r w:rsidR="00BD35DF" w:rsidRPr="00BD35DF">
        <w:rPr>
          <w:szCs w:val="24"/>
        </w:rPr>
        <w:t>30 November</w:t>
      </w:r>
      <w:r w:rsidR="00597625" w:rsidRPr="00BD35DF">
        <w:rPr>
          <w:szCs w:val="24"/>
        </w:rPr>
        <w:t xml:space="preserve"> </w:t>
      </w:r>
      <w:r w:rsidRPr="00BD35DF">
        <w:rPr>
          <w:szCs w:val="24"/>
        </w:rPr>
        <w:t>2014 compared to the indicators set in the treasury management strategy for 2014/15 is set out below.</w:t>
      </w:r>
    </w:p>
    <w:p w:rsidR="009071F8" w:rsidRPr="00DE7585" w:rsidRDefault="009071F8" w:rsidP="009071F8">
      <w:pPr>
        <w:rPr>
          <w:szCs w:val="24"/>
          <w:highlight w:val="yellow"/>
        </w:rPr>
      </w:pPr>
    </w:p>
    <w:p w:rsidR="009071F8" w:rsidRPr="00DE7585" w:rsidRDefault="009071F8" w:rsidP="009071F8">
      <w:pPr>
        <w:rPr>
          <w:szCs w:val="24"/>
          <w:highlight w:val="yellow"/>
        </w:rPr>
      </w:pPr>
    </w:p>
    <w:p w:rsidR="009071F8" w:rsidRPr="00DE7585" w:rsidRDefault="009071F8" w:rsidP="009071F8">
      <w:pPr>
        <w:rPr>
          <w:szCs w:val="24"/>
          <w:highlight w:val="yellow"/>
        </w:rPr>
      </w:pPr>
    </w:p>
    <w:tbl>
      <w:tblPr>
        <w:tblW w:w="9322" w:type="dxa"/>
        <w:tblLayout w:type="fixed"/>
        <w:tblLook w:val="0000" w:firstRow="0" w:lastRow="0" w:firstColumn="0" w:lastColumn="0" w:noHBand="0" w:noVBand="0"/>
      </w:tblPr>
      <w:tblGrid>
        <w:gridCol w:w="108"/>
        <w:gridCol w:w="6555"/>
        <w:gridCol w:w="108"/>
        <w:gridCol w:w="1167"/>
        <w:gridCol w:w="108"/>
        <w:gridCol w:w="1026"/>
        <w:gridCol w:w="108"/>
        <w:gridCol w:w="142"/>
      </w:tblGrid>
      <w:tr w:rsidR="00C555D5" w:rsidRPr="00BD35DF" w:rsidTr="00C555D5">
        <w:trPr>
          <w:gridBefore w:val="1"/>
          <w:gridAfter w:val="1"/>
          <w:wBefore w:w="108" w:type="dxa"/>
          <w:wAfter w:w="142" w:type="dxa"/>
        </w:trPr>
        <w:tc>
          <w:tcPr>
            <w:tcW w:w="6663" w:type="dxa"/>
            <w:gridSpan w:val="2"/>
          </w:tcPr>
          <w:p w:rsidR="00C555D5" w:rsidRPr="00BD35DF" w:rsidRDefault="00C555D5" w:rsidP="0022245F">
            <w:pPr>
              <w:rPr>
                <w:sz w:val="20"/>
              </w:rPr>
            </w:pPr>
            <w:r w:rsidRPr="00BD35DF">
              <w:rPr>
                <w:b/>
                <w:sz w:val="20"/>
              </w:rPr>
              <w:t>Treasury Management Prudential Indicators</w:t>
            </w:r>
          </w:p>
        </w:tc>
        <w:tc>
          <w:tcPr>
            <w:tcW w:w="1275" w:type="dxa"/>
            <w:gridSpan w:val="2"/>
          </w:tcPr>
          <w:p w:rsidR="00C555D5" w:rsidRPr="00BD35DF" w:rsidRDefault="00BA4BCF" w:rsidP="003B7681">
            <w:pPr>
              <w:jc w:val="center"/>
              <w:rPr>
                <w:b/>
                <w:sz w:val="20"/>
              </w:rPr>
            </w:pPr>
            <w:r w:rsidRPr="00BD35DF">
              <w:rPr>
                <w:b/>
                <w:sz w:val="20"/>
              </w:rPr>
              <w:t>2014/15</w:t>
            </w:r>
            <w:r w:rsidR="00C555D5" w:rsidRPr="00BD35DF">
              <w:rPr>
                <w:b/>
                <w:sz w:val="20"/>
              </w:rPr>
              <w:t xml:space="preserve"> </w:t>
            </w:r>
          </w:p>
        </w:tc>
        <w:tc>
          <w:tcPr>
            <w:tcW w:w="1134" w:type="dxa"/>
            <w:gridSpan w:val="2"/>
          </w:tcPr>
          <w:p w:rsidR="00C555D5" w:rsidRPr="00BD35DF" w:rsidRDefault="00C555D5" w:rsidP="0022245F">
            <w:pPr>
              <w:jc w:val="center"/>
              <w:rPr>
                <w:b/>
                <w:sz w:val="20"/>
              </w:rPr>
            </w:pPr>
            <w:r w:rsidRPr="00BD35DF">
              <w:rPr>
                <w:b/>
                <w:sz w:val="20"/>
              </w:rPr>
              <w:t>3</w:t>
            </w:r>
            <w:r w:rsidR="00BD35DF" w:rsidRPr="00BD35DF">
              <w:rPr>
                <w:b/>
                <w:sz w:val="20"/>
              </w:rPr>
              <w:t>0th Nov</w:t>
            </w:r>
          </w:p>
          <w:p w:rsidR="00C555D5" w:rsidRPr="00BD35DF" w:rsidRDefault="00C555D5" w:rsidP="0022245F">
            <w:pPr>
              <w:jc w:val="center"/>
              <w:rPr>
                <w:b/>
                <w:sz w:val="20"/>
              </w:rPr>
            </w:pPr>
            <w:r w:rsidRPr="00BD35DF">
              <w:rPr>
                <w:b/>
                <w:sz w:val="20"/>
              </w:rPr>
              <w:t xml:space="preserve">Actual </w:t>
            </w:r>
          </w:p>
        </w:tc>
      </w:tr>
      <w:tr w:rsidR="00C555D5" w:rsidRPr="00DE7585" w:rsidTr="00C555D5">
        <w:trPr>
          <w:gridBefore w:val="1"/>
          <w:gridAfter w:val="1"/>
          <w:wBefore w:w="108" w:type="dxa"/>
          <w:wAfter w:w="142" w:type="dxa"/>
        </w:trPr>
        <w:tc>
          <w:tcPr>
            <w:tcW w:w="6663" w:type="dxa"/>
            <w:gridSpan w:val="2"/>
          </w:tcPr>
          <w:p w:rsidR="00C555D5" w:rsidRPr="00DE7585" w:rsidRDefault="00C555D5" w:rsidP="0022245F">
            <w:pPr>
              <w:spacing w:after="120"/>
              <w:rPr>
                <w:sz w:val="20"/>
                <w:highlight w:val="yellow"/>
              </w:rPr>
            </w:pPr>
          </w:p>
        </w:tc>
        <w:tc>
          <w:tcPr>
            <w:tcW w:w="1275" w:type="dxa"/>
            <w:gridSpan w:val="2"/>
          </w:tcPr>
          <w:p w:rsidR="00C555D5" w:rsidRPr="00BD35DF" w:rsidRDefault="00C555D5" w:rsidP="0022245F">
            <w:pPr>
              <w:spacing w:after="120"/>
              <w:jc w:val="center"/>
              <w:rPr>
                <w:b/>
                <w:caps/>
                <w:sz w:val="20"/>
              </w:rPr>
            </w:pPr>
            <w:r w:rsidRPr="00BD35DF">
              <w:rPr>
                <w:b/>
                <w:caps/>
                <w:sz w:val="20"/>
              </w:rPr>
              <w:t>£m</w:t>
            </w:r>
          </w:p>
        </w:tc>
        <w:tc>
          <w:tcPr>
            <w:tcW w:w="1134" w:type="dxa"/>
            <w:gridSpan w:val="2"/>
          </w:tcPr>
          <w:p w:rsidR="00C555D5" w:rsidRPr="00BD35DF" w:rsidRDefault="00C555D5" w:rsidP="0022245F">
            <w:pPr>
              <w:spacing w:after="120"/>
              <w:jc w:val="center"/>
              <w:rPr>
                <w:b/>
                <w:sz w:val="20"/>
              </w:rPr>
            </w:pPr>
            <w:r w:rsidRPr="00BD35DF">
              <w:rPr>
                <w:b/>
                <w:caps/>
                <w:sz w:val="20"/>
              </w:rPr>
              <w:t>£m</w:t>
            </w:r>
          </w:p>
        </w:tc>
      </w:tr>
      <w:tr w:rsidR="00C555D5" w:rsidRPr="00DE7585" w:rsidTr="00C555D5">
        <w:trPr>
          <w:gridBefore w:val="1"/>
          <w:gridAfter w:val="1"/>
          <w:wBefore w:w="108" w:type="dxa"/>
          <w:wAfter w:w="142" w:type="dxa"/>
        </w:trPr>
        <w:tc>
          <w:tcPr>
            <w:tcW w:w="6663" w:type="dxa"/>
            <w:gridSpan w:val="2"/>
          </w:tcPr>
          <w:p w:rsidR="00C555D5" w:rsidRPr="00C616A9" w:rsidRDefault="00C555D5" w:rsidP="0022245F">
            <w:pPr>
              <w:pStyle w:val="ListParagraph"/>
              <w:numPr>
                <w:ilvl w:val="0"/>
                <w:numId w:val="4"/>
              </w:numPr>
              <w:spacing w:after="120" w:line="240" w:lineRule="auto"/>
              <w:ind w:left="349" w:hanging="349"/>
              <w:rPr>
                <w:b/>
                <w:sz w:val="20"/>
              </w:rPr>
            </w:pPr>
            <w:r w:rsidRPr="00C616A9">
              <w:rPr>
                <w:b/>
                <w:sz w:val="20"/>
              </w:rPr>
              <w:t>Adoption of CIPFA TM Code of Practice</w:t>
            </w:r>
          </w:p>
          <w:p w:rsidR="00C555D5" w:rsidRPr="00C616A9" w:rsidRDefault="00C555D5" w:rsidP="0022245F">
            <w:pPr>
              <w:pStyle w:val="ListParagraph"/>
              <w:spacing w:after="120"/>
              <w:ind w:left="349"/>
              <w:rPr>
                <w:b/>
                <w:sz w:val="20"/>
              </w:rPr>
            </w:pPr>
          </w:p>
          <w:p w:rsidR="00C555D5" w:rsidRPr="00C616A9" w:rsidRDefault="00C555D5" w:rsidP="0022245F">
            <w:pPr>
              <w:pStyle w:val="ListParagraph"/>
              <w:numPr>
                <w:ilvl w:val="0"/>
                <w:numId w:val="4"/>
              </w:numPr>
              <w:spacing w:after="120" w:line="240" w:lineRule="auto"/>
              <w:ind w:left="349" w:hanging="349"/>
              <w:rPr>
                <w:b/>
                <w:sz w:val="20"/>
              </w:rPr>
            </w:pPr>
            <w:r w:rsidRPr="00C616A9">
              <w:rPr>
                <w:b/>
                <w:sz w:val="20"/>
              </w:rPr>
              <w:t>Authorised limit for external debt</w:t>
            </w:r>
            <w:r w:rsidRPr="00C616A9">
              <w:rPr>
                <w:sz w:val="20"/>
              </w:rPr>
              <w:t xml:space="preserve"> - A prudent estimate of debt, which reflects the Authority’s capital expenditure plans and allows sufficient headroom for unusual cash movements.</w:t>
            </w:r>
          </w:p>
        </w:tc>
        <w:tc>
          <w:tcPr>
            <w:tcW w:w="2409" w:type="dxa"/>
            <w:gridSpan w:val="4"/>
          </w:tcPr>
          <w:p w:rsidR="00C555D5" w:rsidRPr="00BD35DF" w:rsidRDefault="00C555D5" w:rsidP="0022245F">
            <w:pPr>
              <w:tabs>
                <w:tab w:val="decimal" w:pos="882"/>
              </w:tabs>
              <w:spacing w:after="120"/>
              <w:jc w:val="center"/>
              <w:rPr>
                <w:sz w:val="20"/>
              </w:rPr>
            </w:pPr>
            <w:r w:rsidRPr="00BD35DF">
              <w:rPr>
                <w:caps/>
                <w:sz w:val="20"/>
              </w:rPr>
              <w:t>aDoPtEd</w:t>
            </w:r>
          </w:p>
        </w:tc>
      </w:tr>
      <w:tr w:rsidR="00C555D5" w:rsidRPr="00DE7585" w:rsidTr="00C616A9">
        <w:trPr>
          <w:gridBefore w:val="1"/>
          <w:gridAfter w:val="1"/>
          <w:wBefore w:w="108" w:type="dxa"/>
          <w:wAfter w:w="142" w:type="dxa"/>
        </w:trPr>
        <w:tc>
          <w:tcPr>
            <w:tcW w:w="6663" w:type="dxa"/>
            <w:gridSpan w:val="2"/>
          </w:tcPr>
          <w:p w:rsidR="00C555D5" w:rsidRPr="00C616A9" w:rsidRDefault="00C555D5" w:rsidP="0022245F">
            <w:pPr>
              <w:tabs>
                <w:tab w:val="left" w:pos="342"/>
              </w:tabs>
              <w:spacing w:after="120"/>
              <w:ind w:left="349"/>
              <w:rPr>
                <w:sz w:val="20"/>
              </w:rPr>
            </w:pPr>
            <w:r w:rsidRPr="00C616A9">
              <w:rPr>
                <w:sz w:val="20"/>
              </w:rPr>
              <w:t>Borrowing</w:t>
            </w:r>
          </w:p>
        </w:tc>
        <w:tc>
          <w:tcPr>
            <w:tcW w:w="1275" w:type="dxa"/>
            <w:gridSpan w:val="2"/>
          </w:tcPr>
          <w:p w:rsidR="00C555D5" w:rsidRPr="00C616A9" w:rsidRDefault="003A298A" w:rsidP="0022245F">
            <w:pPr>
              <w:tabs>
                <w:tab w:val="decimal" w:pos="882"/>
              </w:tabs>
              <w:spacing w:after="120"/>
              <w:rPr>
                <w:caps/>
                <w:sz w:val="20"/>
              </w:rPr>
            </w:pPr>
            <w:r>
              <w:rPr>
                <w:caps/>
                <w:sz w:val="20"/>
              </w:rPr>
              <w:t>1,5</w:t>
            </w:r>
            <w:r w:rsidR="00A70459" w:rsidRPr="00C616A9">
              <w:rPr>
                <w:caps/>
                <w:sz w:val="20"/>
              </w:rPr>
              <w:t>44</w:t>
            </w:r>
          </w:p>
        </w:tc>
        <w:tc>
          <w:tcPr>
            <w:tcW w:w="1134" w:type="dxa"/>
            <w:gridSpan w:val="2"/>
            <w:shd w:val="clear" w:color="auto" w:fill="auto"/>
          </w:tcPr>
          <w:p w:rsidR="00C555D5" w:rsidRPr="00C616A9" w:rsidRDefault="00A70459" w:rsidP="00C616A9">
            <w:pPr>
              <w:tabs>
                <w:tab w:val="decimal" w:pos="882"/>
              </w:tabs>
              <w:spacing w:after="120"/>
              <w:rPr>
                <w:sz w:val="20"/>
              </w:rPr>
            </w:pPr>
            <w:r w:rsidRPr="00C616A9">
              <w:rPr>
                <w:sz w:val="20"/>
              </w:rPr>
              <w:t>1</w:t>
            </w:r>
            <w:r w:rsidR="00C616A9" w:rsidRPr="00C616A9">
              <w:rPr>
                <w:sz w:val="20"/>
              </w:rPr>
              <w:t>,117</w:t>
            </w:r>
          </w:p>
        </w:tc>
      </w:tr>
      <w:tr w:rsidR="00C555D5" w:rsidRPr="00DE7585" w:rsidTr="00C555D5">
        <w:trPr>
          <w:gridBefore w:val="1"/>
          <w:gridAfter w:val="1"/>
          <w:wBefore w:w="108" w:type="dxa"/>
          <w:wAfter w:w="142" w:type="dxa"/>
        </w:trPr>
        <w:tc>
          <w:tcPr>
            <w:tcW w:w="6663" w:type="dxa"/>
            <w:gridSpan w:val="2"/>
          </w:tcPr>
          <w:p w:rsidR="00C555D5" w:rsidRPr="00C616A9" w:rsidRDefault="00C555D5" w:rsidP="0022245F">
            <w:pPr>
              <w:tabs>
                <w:tab w:val="left" w:pos="342"/>
              </w:tabs>
              <w:spacing w:after="120"/>
              <w:ind w:left="349"/>
              <w:rPr>
                <w:sz w:val="20"/>
              </w:rPr>
            </w:pPr>
            <w:r w:rsidRPr="00C616A9">
              <w:rPr>
                <w:sz w:val="20"/>
              </w:rPr>
              <w:t>Other long-term liabilities(PFI schemes)</w:t>
            </w:r>
          </w:p>
        </w:tc>
        <w:tc>
          <w:tcPr>
            <w:tcW w:w="1275" w:type="dxa"/>
            <w:gridSpan w:val="2"/>
          </w:tcPr>
          <w:p w:rsidR="00C555D5" w:rsidRPr="00C616A9" w:rsidRDefault="00A70459" w:rsidP="0022245F">
            <w:pPr>
              <w:tabs>
                <w:tab w:val="decimal" w:pos="882"/>
              </w:tabs>
              <w:spacing w:after="120"/>
              <w:rPr>
                <w:caps/>
                <w:sz w:val="20"/>
              </w:rPr>
            </w:pPr>
            <w:r w:rsidRPr="00C616A9">
              <w:rPr>
                <w:caps/>
                <w:sz w:val="20"/>
              </w:rPr>
              <w:t>206</w:t>
            </w:r>
          </w:p>
        </w:tc>
        <w:tc>
          <w:tcPr>
            <w:tcW w:w="1134" w:type="dxa"/>
            <w:gridSpan w:val="2"/>
          </w:tcPr>
          <w:p w:rsidR="00C555D5" w:rsidRPr="00C616A9" w:rsidRDefault="00A70459" w:rsidP="0022245F">
            <w:pPr>
              <w:tabs>
                <w:tab w:val="decimal" w:pos="882"/>
              </w:tabs>
              <w:spacing w:after="120"/>
              <w:rPr>
                <w:sz w:val="20"/>
              </w:rPr>
            </w:pPr>
            <w:r w:rsidRPr="00C616A9">
              <w:rPr>
                <w:sz w:val="20"/>
              </w:rPr>
              <w:t>119</w:t>
            </w:r>
          </w:p>
        </w:tc>
      </w:tr>
      <w:tr w:rsidR="00C555D5" w:rsidRPr="00DE7585" w:rsidTr="00C555D5">
        <w:trPr>
          <w:gridBefore w:val="1"/>
          <w:gridAfter w:val="1"/>
          <w:wBefore w:w="108" w:type="dxa"/>
          <w:wAfter w:w="142" w:type="dxa"/>
        </w:trPr>
        <w:tc>
          <w:tcPr>
            <w:tcW w:w="6663" w:type="dxa"/>
            <w:gridSpan w:val="2"/>
          </w:tcPr>
          <w:p w:rsidR="00C555D5" w:rsidRPr="006226DB" w:rsidRDefault="00C555D5" w:rsidP="0022245F">
            <w:pPr>
              <w:tabs>
                <w:tab w:val="left" w:pos="342"/>
              </w:tabs>
              <w:spacing w:before="120" w:after="120"/>
              <w:ind w:left="349"/>
              <w:rPr>
                <w:sz w:val="20"/>
              </w:rPr>
            </w:pPr>
            <w:r w:rsidRPr="006226DB">
              <w:rPr>
                <w:sz w:val="20"/>
              </w:rPr>
              <w:t>TOTAL</w:t>
            </w:r>
          </w:p>
        </w:tc>
        <w:tc>
          <w:tcPr>
            <w:tcW w:w="1275" w:type="dxa"/>
            <w:gridSpan w:val="2"/>
            <w:tcBorders>
              <w:top w:val="single" w:sz="4" w:space="0" w:color="auto"/>
              <w:bottom w:val="single" w:sz="4" w:space="0" w:color="auto"/>
            </w:tcBorders>
          </w:tcPr>
          <w:p w:rsidR="00C555D5" w:rsidRPr="00C616A9" w:rsidRDefault="00C555D5" w:rsidP="00A70459">
            <w:pPr>
              <w:tabs>
                <w:tab w:val="decimal" w:pos="882"/>
              </w:tabs>
              <w:spacing w:before="120" w:after="120"/>
              <w:rPr>
                <w:caps/>
                <w:sz w:val="20"/>
              </w:rPr>
            </w:pPr>
            <w:r w:rsidRPr="00C616A9">
              <w:rPr>
                <w:caps/>
                <w:sz w:val="20"/>
              </w:rPr>
              <w:t>1,</w:t>
            </w:r>
            <w:r w:rsidR="003A298A">
              <w:rPr>
                <w:caps/>
                <w:sz w:val="20"/>
              </w:rPr>
              <w:t>7</w:t>
            </w:r>
            <w:r w:rsidR="00A70459" w:rsidRPr="00C616A9">
              <w:rPr>
                <w:caps/>
                <w:sz w:val="20"/>
              </w:rPr>
              <w:t>50</w:t>
            </w:r>
          </w:p>
        </w:tc>
        <w:tc>
          <w:tcPr>
            <w:tcW w:w="1134" w:type="dxa"/>
            <w:gridSpan w:val="2"/>
            <w:tcBorders>
              <w:top w:val="single" w:sz="4" w:space="0" w:color="auto"/>
              <w:bottom w:val="single" w:sz="4" w:space="0" w:color="auto"/>
            </w:tcBorders>
          </w:tcPr>
          <w:p w:rsidR="00C555D5" w:rsidRPr="00C616A9" w:rsidRDefault="00C555D5" w:rsidP="00C616A9">
            <w:pPr>
              <w:tabs>
                <w:tab w:val="decimal" w:pos="882"/>
              </w:tabs>
              <w:spacing w:before="120" w:after="120"/>
              <w:rPr>
                <w:caps/>
                <w:sz w:val="20"/>
              </w:rPr>
            </w:pPr>
            <w:r w:rsidRPr="00C616A9">
              <w:rPr>
                <w:caps/>
                <w:sz w:val="20"/>
              </w:rPr>
              <w:t>1,</w:t>
            </w:r>
            <w:r w:rsidR="00C616A9" w:rsidRPr="00C616A9">
              <w:rPr>
                <w:caps/>
                <w:sz w:val="20"/>
              </w:rPr>
              <w:t>236</w:t>
            </w:r>
          </w:p>
        </w:tc>
      </w:tr>
      <w:tr w:rsidR="00C555D5" w:rsidRPr="00DE7585" w:rsidTr="00C555D5">
        <w:trPr>
          <w:gridBefore w:val="1"/>
          <w:gridAfter w:val="1"/>
          <w:wBefore w:w="108" w:type="dxa"/>
          <w:wAfter w:w="142" w:type="dxa"/>
        </w:trPr>
        <w:tc>
          <w:tcPr>
            <w:tcW w:w="6663" w:type="dxa"/>
            <w:gridSpan w:val="2"/>
          </w:tcPr>
          <w:p w:rsidR="00C555D5" w:rsidRPr="006226DB" w:rsidRDefault="00C555D5" w:rsidP="0022245F">
            <w:pPr>
              <w:numPr>
                <w:ilvl w:val="0"/>
                <w:numId w:val="4"/>
              </w:numPr>
              <w:spacing w:before="240" w:after="120"/>
              <w:ind w:left="342" w:hanging="342"/>
              <w:rPr>
                <w:b/>
                <w:sz w:val="20"/>
              </w:rPr>
            </w:pPr>
            <w:r w:rsidRPr="006226DB">
              <w:rPr>
                <w:b/>
                <w:sz w:val="20"/>
              </w:rPr>
              <w:t>Operational boundary for external debt</w:t>
            </w:r>
            <w:r w:rsidRPr="006226DB">
              <w:rPr>
                <w:sz w:val="20"/>
              </w:rPr>
              <w:t xml:space="preserve"> - A prudent estimate of debt, but no provision for unusual cash movements.  It represents the estimated maximum external debt arising as a consequence of the County Council's current plans.</w:t>
            </w:r>
          </w:p>
        </w:tc>
        <w:tc>
          <w:tcPr>
            <w:tcW w:w="1275" w:type="dxa"/>
            <w:gridSpan w:val="2"/>
          </w:tcPr>
          <w:p w:rsidR="00C555D5" w:rsidRPr="00DE7585" w:rsidRDefault="00C555D5" w:rsidP="0022245F">
            <w:pPr>
              <w:tabs>
                <w:tab w:val="decimal" w:pos="882"/>
              </w:tabs>
              <w:spacing w:before="240" w:after="120"/>
              <w:rPr>
                <w:caps/>
                <w:sz w:val="20"/>
                <w:highlight w:val="yellow"/>
              </w:rPr>
            </w:pPr>
          </w:p>
        </w:tc>
        <w:tc>
          <w:tcPr>
            <w:tcW w:w="1134" w:type="dxa"/>
            <w:gridSpan w:val="2"/>
          </w:tcPr>
          <w:p w:rsidR="00C555D5" w:rsidRPr="00DE7585" w:rsidRDefault="00C555D5" w:rsidP="0022245F">
            <w:pPr>
              <w:tabs>
                <w:tab w:val="decimal" w:pos="882"/>
              </w:tabs>
              <w:spacing w:before="240" w:after="120"/>
              <w:rPr>
                <w:sz w:val="20"/>
                <w:highlight w:val="yellow"/>
              </w:rPr>
            </w:pPr>
          </w:p>
        </w:tc>
      </w:tr>
      <w:tr w:rsidR="00A70459" w:rsidRPr="00DE7585" w:rsidTr="00C555D5">
        <w:trPr>
          <w:gridBefore w:val="1"/>
          <w:gridAfter w:val="1"/>
          <w:wBefore w:w="108" w:type="dxa"/>
          <w:wAfter w:w="142" w:type="dxa"/>
          <w:trHeight w:val="436"/>
        </w:trPr>
        <w:tc>
          <w:tcPr>
            <w:tcW w:w="6663" w:type="dxa"/>
            <w:gridSpan w:val="2"/>
          </w:tcPr>
          <w:p w:rsidR="00A70459" w:rsidRPr="00C616A9" w:rsidRDefault="00A70459" w:rsidP="00A70459">
            <w:pPr>
              <w:tabs>
                <w:tab w:val="left" w:pos="342"/>
              </w:tabs>
              <w:spacing w:after="120"/>
              <w:ind w:left="342"/>
              <w:rPr>
                <w:sz w:val="20"/>
              </w:rPr>
            </w:pPr>
            <w:r w:rsidRPr="00C616A9">
              <w:rPr>
                <w:sz w:val="20"/>
              </w:rPr>
              <w:t>Borrowing</w:t>
            </w:r>
          </w:p>
        </w:tc>
        <w:tc>
          <w:tcPr>
            <w:tcW w:w="1275" w:type="dxa"/>
            <w:gridSpan w:val="2"/>
          </w:tcPr>
          <w:p w:rsidR="00A70459" w:rsidRPr="00C616A9" w:rsidRDefault="003A298A" w:rsidP="00A70459">
            <w:pPr>
              <w:tabs>
                <w:tab w:val="decimal" w:pos="882"/>
              </w:tabs>
              <w:spacing w:after="120"/>
              <w:rPr>
                <w:caps/>
                <w:sz w:val="20"/>
              </w:rPr>
            </w:pPr>
            <w:r>
              <w:rPr>
                <w:caps/>
                <w:sz w:val="20"/>
              </w:rPr>
              <w:t>1,4</w:t>
            </w:r>
            <w:r w:rsidR="00A70459" w:rsidRPr="00C616A9">
              <w:rPr>
                <w:caps/>
                <w:sz w:val="20"/>
              </w:rPr>
              <w:t>94</w:t>
            </w:r>
          </w:p>
        </w:tc>
        <w:tc>
          <w:tcPr>
            <w:tcW w:w="1134" w:type="dxa"/>
            <w:gridSpan w:val="2"/>
          </w:tcPr>
          <w:p w:rsidR="00A70459" w:rsidRPr="00C616A9" w:rsidRDefault="00C616A9" w:rsidP="00A70459">
            <w:pPr>
              <w:tabs>
                <w:tab w:val="decimal" w:pos="882"/>
              </w:tabs>
              <w:spacing w:after="120"/>
              <w:rPr>
                <w:sz w:val="20"/>
              </w:rPr>
            </w:pPr>
            <w:r w:rsidRPr="00C616A9">
              <w:rPr>
                <w:sz w:val="20"/>
              </w:rPr>
              <w:t>1,117</w:t>
            </w:r>
          </w:p>
        </w:tc>
      </w:tr>
      <w:tr w:rsidR="00A70459" w:rsidRPr="00DE7585" w:rsidTr="00C555D5">
        <w:trPr>
          <w:gridBefore w:val="1"/>
          <w:gridAfter w:val="1"/>
          <w:wBefore w:w="108" w:type="dxa"/>
          <w:wAfter w:w="142" w:type="dxa"/>
        </w:trPr>
        <w:tc>
          <w:tcPr>
            <w:tcW w:w="6663" w:type="dxa"/>
            <w:gridSpan w:val="2"/>
          </w:tcPr>
          <w:p w:rsidR="00A70459" w:rsidRPr="00C616A9" w:rsidRDefault="00A70459" w:rsidP="00A70459">
            <w:pPr>
              <w:tabs>
                <w:tab w:val="left" w:pos="342"/>
              </w:tabs>
              <w:spacing w:after="120"/>
              <w:ind w:left="342"/>
              <w:rPr>
                <w:sz w:val="20"/>
              </w:rPr>
            </w:pPr>
            <w:r w:rsidRPr="00C616A9">
              <w:rPr>
                <w:sz w:val="20"/>
              </w:rPr>
              <w:t>Other long-term liabilities</w:t>
            </w:r>
          </w:p>
        </w:tc>
        <w:tc>
          <w:tcPr>
            <w:tcW w:w="1275" w:type="dxa"/>
            <w:gridSpan w:val="2"/>
            <w:tcBorders>
              <w:bottom w:val="single" w:sz="4" w:space="0" w:color="auto"/>
            </w:tcBorders>
          </w:tcPr>
          <w:p w:rsidR="00A70459" w:rsidRPr="00C616A9" w:rsidRDefault="00A70459" w:rsidP="00A70459">
            <w:pPr>
              <w:tabs>
                <w:tab w:val="decimal" w:pos="882"/>
              </w:tabs>
              <w:spacing w:after="120"/>
              <w:rPr>
                <w:caps/>
                <w:sz w:val="20"/>
              </w:rPr>
            </w:pPr>
            <w:r w:rsidRPr="00C616A9">
              <w:rPr>
                <w:caps/>
                <w:sz w:val="20"/>
              </w:rPr>
              <w:t>156</w:t>
            </w:r>
          </w:p>
        </w:tc>
        <w:tc>
          <w:tcPr>
            <w:tcW w:w="1134" w:type="dxa"/>
            <w:gridSpan w:val="2"/>
            <w:tcBorders>
              <w:bottom w:val="single" w:sz="4" w:space="0" w:color="auto"/>
            </w:tcBorders>
          </w:tcPr>
          <w:p w:rsidR="00A70459" w:rsidRPr="00C616A9" w:rsidRDefault="00A70459" w:rsidP="00A70459">
            <w:pPr>
              <w:tabs>
                <w:tab w:val="decimal" w:pos="882"/>
              </w:tabs>
              <w:spacing w:after="120"/>
              <w:rPr>
                <w:sz w:val="20"/>
              </w:rPr>
            </w:pPr>
            <w:r w:rsidRPr="00C616A9">
              <w:rPr>
                <w:sz w:val="20"/>
              </w:rPr>
              <w:t>119</w:t>
            </w:r>
          </w:p>
        </w:tc>
      </w:tr>
      <w:tr w:rsidR="00A70459" w:rsidRPr="00DE7585" w:rsidTr="00C555D5">
        <w:trPr>
          <w:gridBefore w:val="1"/>
          <w:gridAfter w:val="1"/>
          <w:wBefore w:w="108" w:type="dxa"/>
          <w:wAfter w:w="142" w:type="dxa"/>
        </w:trPr>
        <w:tc>
          <w:tcPr>
            <w:tcW w:w="6663" w:type="dxa"/>
            <w:gridSpan w:val="2"/>
          </w:tcPr>
          <w:p w:rsidR="00A70459" w:rsidRPr="00C616A9" w:rsidRDefault="00A70459" w:rsidP="00A70459">
            <w:pPr>
              <w:tabs>
                <w:tab w:val="left" w:pos="342"/>
              </w:tabs>
              <w:spacing w:before="120" w:after="120"/>
              <w:ind w:left="342"/>
              <w:rPr>
                <w:sz w:val="20"/>
              </w:rPr>
            </w:pPr>
            <w:r w:rsidRPr="00C616A9">
              <w:rPr>
                <w:sz w:val="20"/>
              </w:rPr>
              <w:t>TOTAL</w:t>
            </w:r>
          </w:p>
        </w:tc>
        <w:tc>
          <w:tcPr>
            <w:tcW w:w="1275" w:type="dxa"/>
            <w:gridSpan w:val="2"/>
            <w:tcBorders>
              <w:top w:val="single" w:sz="4" w:space="0" w:color="auto"/>
              <w:bottom w:val="single" w:sz="4" w:space="0" w:color="auto"/>
            </w:tcBorders>
          </w:tcPr>
          <w:p w:rsidR="00A70459" w:rsidRPr="00C616A9" w:rsidRDefault="003A298A" w:rsidP="00A70459">
            <w:pPr>
              <w:tabs>
                <w:tab w:val="decimal" w:pos="882"/>
              </w:tabs>
              <w:spacing w:before="120" w:after="120"/>
              <w:jc w:val="center"/>
              <w:rPr>
                <w:caps/>
                <w:sz w:val="20"/>
              </w:rPr>
            </w:pPr>
            <w:r>
              <w:rPr>
                <w:caps/>
                <w:sz w:val="20"/>
              </w:rPr>
              <w:t>1,6</w:t>
            </w:r>
            <w:r w:rsidR="00A70459" w:rsidRPr="00C616A9">
              <w:rPr>
                <w:caps/>
                <w:sz w:val="20"/>
              </w:rPr>
              <w:t>50</w:t>
            </w:r>
          </w:p>
        </w:tc>
        <w:tc>
          <w:tcPr>
            <w:tcW w:w="1134" w:type="dxa"/>
            <w:gridSpan w:val="2"/>
            <w:tcBorders>
              <w:top w:val="single" w:sz="4" w:space="0" w:color="auto"/>
              <w:bottom w:val="single" w:sz="4" w:space="0" w:color="auto"/>
            </w:tcBorders>
          </w:tcPr>
          <w:p w:rsidR="00A70459" w:rsidRPr="00C616A9" w:rsidRDefault="00A70459" w:rsidP="00A70459">
            <w:pPr>
              <w:tabs>
                <w:tab w:val="decimal" w:pos="882"/>
              </w:tabs>
              <w:spacing w:before="120" w:after="120"/>
              <w:rPr>
                <w:caps/>
                <w:sz w:val="20"/>
              </w:rPr>
            </w:pPr>
            <w:r w:rsidRPr="00C616A9">
              <w:rPr>
                <w:caps/>
                <w:sz w:val="20"/>
              </w:rPr>
              <w:t>1,</w:t>
            </w:r>
            <w:r w:rsidR="00C616A9" w:rsidRPr="00C616A9">
              <w:rPr>
                <w:caps/>
                <w:sz w:val="20"/>
              </w:rPr>
              <w:t>236</w:t>
            </w:r>
          </w:p>
        </w:tc>
      </w:tr>
      <w:tr w:rsidR="00A70459" w:rsidRPr="00DE7585" w:rsidTr="00C555D5">
        <w:trPr>
          <w:gridBefore w:val="1"/>
          <w:gridAfter w:val="1"/>
          <w:wBefore w:w="108" w:type="dxa"/>
          <w:wAfter w:w="142" w:type="dxa"/>
        </w:trPr>
        <w:tc>
          <w:tcPr>
            <w:tcW w:w="6663" w:type="dxa"/>
            <w:gridSpan w:val="2"/>
          </w:tcPr>
          <w:p w:rsidR="00A70459" w:rsidRPr="00DE7585" w:rsidRDefault="00A70459" w:rsidP="00A70459">
            <w:pPr>
              <w:pStyle w:val="ListParagraph"/>
              <w:ind w:left="284"/>
              <w:rPr>
                <w:rFonts w:cs="Arial"/>
                <w:b/>
                <w:sz w:val="20"/>
                <w:szCs w:val="20"/>
                <w:highlight w:val="yellow"/>
              </w:rPr>
            </w:pPr>
          </w:p>
        </w:tc>
        <w:tc>
          <w:tcPr>
            <w:tcW w:w="1275" w:type="dxa"/>
            <w:gridSpan w:val="2"/>
            <w:tcBorders>
              <w:top w:val="single" w:sz="4" w:space="0" w:color="auto"/>
            </w:tcBorders>
          </w:tcPr>
          <w:p w:rsidR="00A70459" w:rsidRPr="00DE7585" w:rsidRDefault="00A70459" w:rsidP="00A70459">
            <w:pPr>
              <w:tabs>
                <w:tab w:val="decimal" w:pos="882"/>
              </w:tabs>
              <w:spacing w:before="120" w:after="120"/>
              <w:jc w:val="center"/>
              <w:rPr>
                <w:caps/>
                <w:sz w:val="20"/>
                <w:highlight w:val="yellow"/>
              </w:rPr>
            </w:pPr>
          </w:p>
        </w:tc>
        <w:tc>
          <w:tcPr>
            <w:tcW w:w="1134" w:type="dxa"/>
            <w:gridSpan w:val="2"/>
            <w:tcBorders>
              <w:top w:val="single" w:sz="4" w:space="0" w:color="auto"/>
            </w:tcBorders>
          </w:tcPr>
          <w:p w:rsidR="00A70459" w:rsidRPr="00DE7585" w:rsidRDefault="00A70459" w:rsidP="00A70459">
            <w:pPr>
              <w:tabs>
                <w:tab w:val="decimal" w:pos="882"/>
              </w:tabs>
              <w:spacing w:before="120" w:after="120"/>
              <w:jc w:val="center"/>
              <w:rPr>
                <w:caps/>
                <w:sz w:val="20"/>
                <w:highlight w:val="yellow"/>
              </w:rPr>
            </w:pPr>
          </w:p>
        </w:tc>
      </w:tr>
      <w:tr w:rsidR="00A70459" w:rsidRPr="008A6825" w:rsidTr="00C555D5">
        <w:trPr>
          <w:gridAfter w:val="2"/>
          <w:wAfter w:w="250" w:type="dxa"/>
        </w:trPr>
        <w:tc>
          <w:tcPr>
            <w:tcW w:w="6663" w:type="dxa"/>
            <w:gridSpan w:val="2"/>
          </w:tcPr>
          <w:p w:rsidR="00A70459" w:rsidRPr="008A6825" w:rsidRDefault="00A70459" w:rsidP="00A70459">
            <w:pPr>
              <w:pStyle w:val="ListParagraph"/>
              <w:numPr>
                <w:ilvl w:val="0"/>
                <w:numId w:val="4"/>
              </w:numPr>
              <w:ind w:left="284" w:hanging="284"/>
              <w:rPr>
                <w:rFonts w:cs="Arial"/>
                <w:b/>
                <w:sz w:val="20"/>
                <w:szCs w:val="20"/>
              </w:rPr>
            </w:pPr>
            <w:r w:rsidRPr="008A6825">
              <w:rPr>
                <w:rFonts w:cs="Arial"/>
                <w:b/>
                <w:sz w:val="20"/>
                <w:szCs w:val="20"/>
              </w:rPr>
              <w:t xml:space="preserve">Capital financing requirement to gross debt </w:t>
            </w:r>
          </w:p>
          <w:p w:rsidR="00A70459" w:rsidRPr="008A6825" w:rsidRDefault="00792CF2" w:rsidP="00792CF2">
            <w:pPr>
              <w:tabs>
                <w:tab w:val="left" w:pos="2700"/>
              </w:tabs>
              <w:rPr>
                <w:rFonts w:cs="Arial"/>
                <w:szCs w:val="22"/>
              </w:rPr>
            </w:pPr>
            <w:r w:rsidRPr="008A6825">
              <w:rPr>
                <w:rFonts w:cs="Arial"/>
                <w:szCs w:val="22"/>
              </w:rPr>
              <w:tab/>
            </w:r>
          </w:p>
          <w:p w:rsidR="00A70459" w:rsidRPr="008A6825" w:rsidRDefault="00A70459" w:rsidP="00A70459">
            <w:pPr>
              <w:tabs>
                <w:tab w:val="left" w:pos="284"/>
              </w:tabs>
              <w:rPr>
                <w:rFonts w:cs="Arial"/>
                <w:szCs w:val="22"/>
              </w:rPr>
            </w:pPr>
            <w:r w:rsidRPr="008A6825">
              <w:rPr>
                <w:rFonts w:cs="Arial"/>
                <w:sz w:val="22"/>
                <w:szCs w:val="22"/>
              </w:rPr>
              <w:t>Capital financing requirement (</w:t>
            </w:r>
            <w:proofErr w:type="spellStart"/>
            <w:r w:rsidRPr="008A6825">
              <w:rPr>
                <w:rFonts w:cs="Arial"/>
                <w:sz w:val="22"/>
                <w:szCs w:val="22"/>
              </w:rPr>
              <w:t>excl</w:t>
            </w:r>
            <w:proofErr w:type="spellEnd"/>
            <w:r w:rsidRPr="008A6825">
              <w:rPr>
                <w:rFonts w:cs="Arial"/>
                <w:sz w:val="22"/>
                <w:szCs w:val="22"/>
              </w:rPr>
              <w:t xml:space="preserve"> PFI)</w:t>
            </w:r>
          </w:p>
          <w:p w:rsidR="00A70459" w:rsidRPr="008A6825" w:rsidRDefault="00A70459" w:rsidP="00A70459">
            <w:pPr>
              <w:tabs>
                <w:tab w:val="left" w:pos="284"/>
              </w:tabs>
              <w:ind w:left="284"/>
              <w:rPr>
                <w:rFonts w:cs="Arial"/>
                <w:szCs w:val="22"/>
              </w:rPr>
            </w:pPr>
          </w:p>
          <w:p w:rsidR="00A70459" w:rsidRPr="008A6825" w:rsidRDefault="00A70459" w:rsidP="00A70459">
            <w:pPr>
              <w:tabs>
                <w:tab w:val="left" w:pos="284"/>
              </w:tabs>
              <w:rPr>
                <w:rFonts w:cs="Arial"/>
                <w:szCs w:val="22"/>
              </w:rPr>
            </w:pPr>
          </w:p>
          <w:p w:rsidR="00A70459" w:rsidRPr="008A6825" w:rsidRDefault="00A70459" w:rsidP="00A70459">
            <w:pPr>
              <w:tabs>
                <w:tab w:val="left" w:pos="284"/>
              </w:tabs>
              <w:rPr>
                <w:rFonts w:cs="Arial"/>
                <w:b/>
                <w:szCs w:val="22"/>
              </w:rPr>
            </w:pPr>
            <w:r w:rsidRPr="008A6825">
              <w:rPr>
                <w:rFonts w:cs="Arial"/>
                <w:sz w:val="22"/>
                <w:szCs w:val="22"/>
              </w:rPr>
              <w:t>Estimated gross debt</w:t>
            </w:r>
          </w:p>
          <w:p w:rsidR="00A70459" w:rsidRDefault="00A70459" w:rsidP="00A70459">
            <w:pPr>
              <w:tabs>
                <w:tab w:val="left" w:pos="342"/>
              </w:tabs>
              <w:spacing w:before="120" w:after="120"/>
              <w:rPr>
                <w:rFonts w:cs="Arial"/>
                <w:sz w:val="22"/>
                <w:szCs w:val="22"/>
              </w:rPr>
            </w:pPr>
            <w:r w:rsidRPr="008A6825">
              <w:rPr>
                <w:rFonts w:cs="Arial"/>
                <w:sz w:val="22"/>
                <w:szCs w:val="22"/>
              </w:rPr>
              <w:t>Debt to CFR</w:t>
            </w:r>
          </w:p>
          <w:p w:rsidR="00BD4F2E" w:rsidRPr="008A6825" w:rsidRDefault="00BD4F2E" w:rsidP="00A70459">
            <w:pPr>
              <w:tabs>
                <w:tab w:val="left" w:pos="342"/>
              </w:tabs>
              <w:spacing w:before="120" w:after="120"/>
            </w:pPr>
          </w:p>
        </w:tc>
        <w:tc>
          <w:tcPr>
            <w:tcW w:w="1275" w:type="dxa"/>
            <w:gridSpan w:val="2"/>
            <w:vAlign w:val="center"/>
          </w:tcPr>
          <w:p w:rsidR="00A70459" w:rsidRPr="008A6825" w:rsidRDefault="00A70459" w:rsidP="00A70459">
            <w:pPr>
              <w:tabs>
                <w:tab w:val="decimal" w:pos="882"/>
              </w:tabs>
              <w:spacing w:before="120" w:after="120"/>
              <w:jc w:val="center"/>
              <w:rPr>
                <w:caps/>
                <w:sz w:val="20"/>
              </w:rPr>
            </w:pPr>
          </w:p>
          <w:p w:rsidR="00A70459" w:rsidRPr="008A6825" w:rsidRDefault="00A70459" w:rsidP="00A70459">
            <w:pPr>
              <w:tabs>
                <w:tab w:val="decimal" w:pos="882"/>
              </w:tabs>
              <w:spacing w:before="120" w:after="120"/>
              <w:jc w:val="right"/>
              <w:rPr>
                <w:caps/>
                <w:sz w:val="20"/>
              </w:rPr>
            </w:pPr>
            <w:r w:rsidRPr="008A6825">
              <w:rPr>
                <w:rFonts w:cs="Arial"/>
                <w:b/>
                <w:sz w:val="20"/>
              </w:rPr>
              <w:t>Estimate</w:t>
            </w:r>
          </w:p>
          <w:p w:rsidR="00A70459" w:rsidRPr="008A6825" w:rsidRDefault="006C10DC" w:rsidP="00A70459">
            <w:pPr>
              <w:tabs>
                <w:tab w:val="decimal" w:pos="882"/>
              </w:tabs>
              <w:spacing w:before="120" w:after="120"/>
              <w:jc w:val="right"/>
              <w:rPr>
                <w:caps/>
                <w:sz w:val="20"/>
              </w:rPr>
            </w:pPr>
            <w:r w:rsidRPr="008A6825">
              <w:rPr>
                <w:caps/>
                <w:sz w:val="20"/>
              </w:rPr>
              <w:t>645</w:t>
            </w:r>
          </w:p>
          <w:p w:rsidR="00A70459" w:rsidRPr="008A6825" w:rsidRDefault="00A70459" w:rsidP="00A70459">
            <w:pPr>
              <w:tabs>
                <w:tab w:val="decimal" w:pos="882"/>
              </w:tabs>
              <w:spacing w:before="120" w:after="120"/>
              <w:jc w:val="right"/>
              <w:rPr>
                <w:caps/>
                <w:sz w:val="20"/>
              </w:rPr>
            </w:pPr>
          </w:p>
          <w:p w:rsidR="00A70459" w:rsidRPr="008A6825" w:rsidRDefault="006C10DC" w:rsidP="006C10DC">
            <w:pPr>
              <w:tabs>
                <w:tab w:val="decimal" w:pos="882"/>
              </w:tabs>
              <w:spacing w:before="120" w:after="120"/>
              <w:jc w:val="right"/>
              <w:rPr>
                <w:caps/>
                <w:sz w:val="20"/>
              </w:rPr>
            </w:pPr>
            <w:r w:rsidRPr="008A6825">
              <w:rPr>
                <w:caps/>
                <w:sz w:val="20"/>
              </w:rPr>
              <w:t>815</w:t>
            </w:r>
          </w:p>
          <w:p w:rsidR="00A70459" w:rsidRPr="008A6825" w:rsidRDefault="00292E72" w:rsidP="00A70459">
            <w:pPr>
              <w:tabs>
                <w:tab w:val="decimal" w:pos="882"/>
              </w:tabs>
              <w:spacing w:before="120" w:after="120"/>
              <w:jc w:val="center"/>
              <w:rPr>
                <w:caps/>
                <w:sz w:val="20"/>
              </w:rPr>
            </w:pPr>
            <w:r w:rsidRPr="008A6825">
              <w:rPr>
                <w:caps/>
                <w:sz w:val="20"/>
              </w:rPr>
              <w:t>126</w:t>
            </w:r>
            <w:r w:rsidR="00A70459" w:rsidRPr="008A6825">
              <w:rPr>
                <w:caps/>
                <w:sz w:val="20"/>
              </w:rPr>
              <w:t>%</w:t>
            </w:r>
          </w:p>
        </w:tc>
        <w:tc>
          <w:tcPr>
            <w:tcW w:w="1134" w:type="dxa"/>
            <w:gridSpan w:val="2"/>
            <w:vAlign w:val="center"/>
          </w:tcPr>
          <w:p w:rsidR="00A70459" w:rsidRPr="008A6825" w:rsidRDefault="00A70459" w:rsidP="00A70459">
            <w:pPr>
              <w:tabs>
                <w:tab w:val="decimal" w:pos="882"/>
              </w:tabs>
              <w:spacing w:before="120" w:after="120"/>
              <w:jc w:val="right"/>
              <w:rPr>
                <w:rFonts w:cs="Arial"/>
                <w:b/>
                <w:color w:val="000000"/>
                <w:sz w:val="20"/>
              </w:rPr>
            </w:pPr>
          </w:p>
          <w:p w:rsidR="00A70459" w:rsidRPr="008A6825" w:rsidRDefault="00A70459" w:rsidP="00A70459">
            <w:pPr>
              <w:tabs>
                <w:tab w:val="decimal" w:pos="882"/>
              </w:tabs>
              <w:spacing w:before="120" w:after="120"/>
              <w:jc w:val="right"/>
              <w:rPr>
                <w:caps/>
                <w:sz w:val="20"/>
              </w:rPr>
            </w:pPr>
            <w:r w:rsidRPr="008A6825">
              <w:rPr>
                <w:rFonts w:cs="Arial"/>
                <w:b/>
                <w:color w:val="000000"/>
                <w:sz w:val="20"/>
              </w:rPr>
              <w:t>Actual</w:t>
            </w:r>
          </w:p>
          <w:p w:rsidR="00A70459" w:rsidRPr="008A6825" w:rsidRDefault="003A298A" w:rsidP="00A70459">
            <w:pPr>
              <w:tabs>
                <w:tab w:val="decimal" w:pos="882"/>
              </w:tabs>
              <w:spacing w:before="120" w:after="120"/>
              <w:jc w:val="center"/>
              <w:rPr>
                <w:caps/>
                <w:sz w:val="20"/>
              </w:rPr>
            </w:pPr>
            <w:r>
              <w:rPr>
                <w:caps/>
                <w:sz w:val="20"/>
              </w:rPr>
              <w:t>871</w:t>
            </w:r>
          </w:p>
          <w:p w:rsidR="00A70459" w:rsidRPr="008A6825" w:rsidRDefault="00A70459" w:rsidP="00A70459">
            <w:pPr>
              <w:tabs>
                <w:tab w:val="decimal" w:pos="882"/>
              </w:tabs>
              <w:spacing w:before="120" w:after="120"/>
              <w:rPr>
                <w:caps/>
                <w:sz w:val="20"/>
              </w:rPr>
            </w:pPr>
          </w:p>
          <w:p w:rsidR="00A70459" w:rsidRPr="008A6825" w:rsidRDefault="00FB21C1" w:rsidP="00A70459">
            <w:pPr>
              <w:tabs>
                <w:tab w:val="decimal" w:pos="882"/>
              </w:tabs>
              <w:spacing w:before="120" w:after="120"/>
              <w:jc w:val="right"/>
              <w:rPr>
                <w:caps/>
                <w:sz w:val="20"/>
              </w:rPr>
            </w:pPr>
            <w:r w:rsidRPr="008A6825">
              <w:rPr>
                <w:caps/>
                <w:sz w:val="20"/>
              </w:rPr>
              <w:t>1,</w:t>
            </w:r>
            <w:r w:rsidR="008A6825" w:rsidRPr="008A6825">
              <w:rPr>
                <w:caps/>
                <w:sz w:val="20"/>
              </w:rPr>
              <w:t>117</w:t>
            </w:r>
          </w:p>
          <w:p w:rsidR="00A70459" w:rsidRPr="008A6825" w:rsidRDefault="003A298A" w:rsidP="00A70459">
            <w:pPr>
              <w:tabs>
                <w:tab w:val="decimal" w:pos="882"/>
              </w:tabs>
              <w:spacing w:before="120" w:after="120"/>
              <w:jc w:val="center"/>
              <w:rPr>
                <w:caps/>
                <w:sz w:val="20"/>
              </w:rPr>
            </w:pPr>
            <w:r w:rsidRPr="003A298A">
              <w:rPr>
                <w:caps/>
                <w:sz w:val="20"/>
              </w:rPr>
              <w:t>128</w:t>
            </w:r>
            <w:r w:rsidR="00A70459" w:rsidRPr="003A298A">
              <w:rPr>
                <w:caps/>
                <w:sz w:val="20"/>
              </w:rPr>
              <w:t>%</w:t>
            </w:r>
          </w:p>
        </w:tc>
      </w:tr>
      <w:tr w:rsidR="00A70459" w:rsidRPr="00DE7585" w:rsidTr="00C555D5">
        <w:trPr>
          <w:gridBefore w:val="1"/>
          <w:wBefore w:w="108" w:type="dxa"/>
        </w:trPr>
        <w:tc>
          <w:tcPr>
            <w:tcW w:w="9214" w:type="dxa"/>
            <w:gridSpan w:val="7"/>
          </w:tcPr>
          <w:p w:rsidR="00A70459" w:rsidRDefault="00A91E53" w:rsidP="005D3268">
            <w:pPr>
              <w:autoSpaceDE w:val="0"/>
              <w:autoSpaceDN w:val="0"/>
              <w:adjustRightInd w:val="0"/>
              <w:rPr>
                <w:rFonts w:cs="Arial"/>
                <w:color w:val="000000"/>
                <w:szCs w:val="24"/>
              </w:rPr>
            </w:pPr>
            <w:r>
              <w:rPr>
                <w:rFonts w:ascii="TT17ADo00" w:hAnsi="TT17ADo00" w:cs="TT17ADo00"/>
                <w:szCs w:val="24"/>
              </w:rPr>
              <w:lastRenderedPageBreak/>
              <w:t>The actual capital financing and gross debt figures are higher than the estimate as a</w:t>
            </w:r>
            <w:r w:rsidR="005D3268">
              <w:rPr>
                <w:rFonts w:ascii="TT17ADo00" w:hAnsi="TT17ADo00" w:cs="TT17ADo00"/>
                <w:szCs w:val="24"/>
              </w:rPr>
              <w:t xml:space="preserve"> </w:t>
            </w:r>
            <w:r>
              <w:rPr>
                <w:rFonts w:ascii="TT17ADo00" w:hAnsi="TT17ADo00" w:cs="TT17ADo00"/>
                <w:szCs w:val="24"/>
              </w:rPr>
              <w:t>result of refinancing the waste PFI. The estimated gross debt figure will be revised</w:t>
            </w:r>
            <w:r w:rsidR="005D3268">
              <w:rPr>
                <w:rFonts w:ascii="TT17ADo00" w:hAnsi="TT17ADo00" w:cs="TT17ADo00"/>
                <w:szCs w:val="24"/>
              </w:rPr>
              <w:t xml:space="preserve"> </w:t>
            </w:r>
            <w:r>
              <w:rPr>
                <w:rFonts w:ascii="TT17ADo00" w:hAnsi="TT17ADo00" w:cs="TT17ADo00"/>
                <w:szCs w:val="24"/>
              </w:rPr>
              <w:t xml:space="preserve">in the 2015/16 Strategy to take into account this </w:t>
            </w:r>
            <w:r w:rsidR="00FF2B3B">
              <w:rPr>
                <w:rFonts w:ascii="TT17ADo00" w:hAnsi="TT17ADo00" w:cs="TT17ADo00"/>
                <w:szCs w:val="24"/>
              </w:rPr>
              <w:t>refinancing. Gross</w:t>
            </w:r>
            <w:r>
              <w:rPr>
                <w:rFonts w:ascii="TT17ADo00" w:hAnsi="TT17ADo00" w:cs="TT17ADo00"/>
                <w:szCs w:val="24"/>
              </w:rPr>
              <w:t xml:space="preserve"> borrowing is higher than the capital financing requirement because the shared</w:t>
            </w:r>
            <w:r w:rsidR="005D3268">
              <w:rPr>
                <w:rFonts w:ascii="TT17ADo00" w:hAnsi="TT17ADo00" w:cs="TT17ADo00"/>
                <w:szCs w:val="24"/>
              </w:rPr>
              <w:t xml:space="preserve"> </w:t>
            </w:r>
            <w:r>
              <w:rPr>
                <w:rFonts w:ascii="TT17ADo00" w:hAnsi="TT17ADo00" w:cs="TT17ADo00"/>
                <w:szCs w:val="24"/>
              </w:rPr>
              <w:t>investment scheme is</w:t>
            </w:r>
            <w:r w:rsidR="00BD4F2E">
              <w:rPr>
                <w:rFonts w:ascii="TT17ADo00" w:hAnsi="TT17ADo00" w:cs="TT17ADo00"/>
                <w:szCs w:val="24"/>
              </w:rPr>
              <w:t xml:space="preserve"> </w:t>
            </w:r>
            <w:r>
              <w:rPr>
                <w:rFonts w:ascii="TT17ADo00" w:hAnsi="TT17ADo00" w:cs="TT17ADo00"/>
                <w:szCs w:val="24"/>
              </w:rPr>
              <w:t>accounted for as borrowing, but it does not form part of the</w:t>
            </w:r>
            <w:r w:rsidR="005D3268">
              <w:rPr>
                <w:rFonts w:ascii="TT17ADo00" w:hAnsi="TT17ADo00" w:cs="TT17ADo00"/>
                <w:szCs w:val="24"/>
              </w:rPr>
              <w:t xml:space="preserve"> </w:t>
            </w:r>
            <w:r>
              <w:rPr>
                <w:rFonts w:ascii="TT17ADo00" w:hAnsi="TT17ADo00" w:cs="TT17ADo00"/>
                <w:szCs w:val="24"/>
              </w:rPr>
              <w:t>capital financing requirement calculation.</w:t>
            </w:r>
          </w:p>
          <w:p w:rsidR="00C616A9" w:rsidRPr="00C616A9" w:rsidRDefault="00C616A9" w:rsidP="00C616A9">
            <w:pPr>
              <w:tabs>
                <w:tab w:val="decimal" w:pos="882"/>
              </w:tabs>
              <w:spacing w:before="120" w:after="120"/>
              <w:rPr>
                <w:rFonts w:cs="Arial"/>
                <w:color w:val="000000"/>
                <w:szCs w:val="24"/>
              </w:rPr>
            </w:pPr>
          </w:p>
          <w:p w:rsidR="00A70459" w:rsidRPr="00C616A9" w:rsidRDefault="00A70459" w:rsidP="00A91E53">
            <w:pPr>
              <w:pStyle w:val="ListParagraph"/>
              <w:numPr>
                <w:ilvl w:val="0"/>
                <w:numId w:val="23"/>
              </w:numPr>
              <w:spacing w:after="120"/>
              <w:ind w:left="0" w:firstLine="0"/>
              <w:rPr>
                <w:szCs w:val="24"/>
              </w:rPr>
            </w:pPr>
            <w:r w:rsidRPr="00C616A9">
              <w:rPr>
                <w:b/>
                <w:szCs w:val="24"/>
              </w:rPr>
              <w:t>Treasury Management Indicators</w:t>
            </w:r>
          </w:p>
          <w:p w:rsidR="00BD4F2E" w:rsidRDefault="00A70459" w:rsidP="00BD4F2E">
            <w:pPr>
              <w:spacing w:after="120"/>
              <w:ind w:left="34"/>
              <w:rPr>
                <w:szCs w:val="24"/>
              </w:rPr>
            </w:pPr>
            <w:r w:rsidRPr="00C616A9">
              <w:rPr>
                <w:szCs w:val="24"/>
              </w:rPr>
              <w:t>The following indicators are set as part of adopting the treasury management code. The code states that local authorities should have regard to the following treasury indicators.</w:t>
            </w:r>
          </w:p>
          <w:p w:rsidR="00A70459" w:rsidRDefault="00A70459" w:rsidP="00BD4F2E">
            <w:pPr>
              <w:spacing w:after="120"/>
              <w:ind w:left="34"/>
              <w:rPr>
                <w:szCs w:val="24"/>
              </w:rPr>
            </w:pPr>
            <w:r w:rsidRPr="00C616A9">
              <w:rPr>
                <w:szCs w:val="24"/>
              </w:rPr>
              <w:t xml:space="preserve">A comparison of the agreed indicators and the actual position at </w:t>
            </w:r>
            <w:r w:rsidR="009D6351" w:rsidRPr="00C616A9">
              <w:rPr>
                <w:szCs w:val="24"/>
              </w:rPr>
              <w:t>3</w:t>
            </w:r>
            <w:r w:rsidR="009D6351">
              <w:rPr>
                <w:szCs w:val="24"/>
              </w:rPr>
              <w:t>0 November</w:t>
            </w:r>
            <w:r w:rsidR="003C22EB" w:rsidRPr="00C616A9">
              <w:rPr>
                <w:szCs w:val="24"/>
              </w:rPr>
              <w:t xml:space="preserve"> 2014 </w:t>
            </w:r>
            <w:r w:rsidRPr="00C616A9">
              <w:rPr>
                <w:szCs w:val="24"/>
              </w:rPr>
              <w:t>is set out below.</w:t>
            </w:r>
          </w:p>
          <w:p w:rsidR="00BD4F2E" w:rsidRPr="00DE7585" w:rsidRDefault="00BD4F2E" w:rsidP="00BD4F2E">
            <w:pPr>
              <w:spacing w:after="120"/>
              <w:ind w:left="34"/>
              <w:rPr>
                <w:szCs w:val="24"/>
                <w:highlight w:val="yellow"/>
              </w:rPr>
            </w:pPr>
          </w:p>
        </w:tc>
      </w:tr>
    </w:tbl>
    <w:p w:rsidR="00B0217B" w:rsidRPr="00C616A9" w:rsidRDefault="00B0217B" w:rsidP="00424AA5">
      <w:pPr>
        <w:pStyle w:val="ListParagraph"/>
        <w:numPr>
          <w:ilvl w:val="0"/>
          <w:numId w:val="11"/>
        </w:numPr>
        <w:ind w:left="0" w:firstLine="0"/>
        <w:rPr>
          <w:rFonts w:cs="Arial"/>
          <w:b/>
          <w:color w:val="000000"/>
          <w:sz w:val="22"/>
        </w:rPr>
      </w:pPr>
      <w:r w:rsidRPr="00C616A9">
        <w:rPr>
          <w:rFonts w:cs="Arial"/>
          <w:b/>
          <w:color w:val="000000"/>
          <w:sz w:val="22"/>
        </w:rPr>
        <w:t>Interest rate exposure</w:t>
      </w:r>
      <w:r w:rsidR="00265411" w:rsidRPr="00C616A9">
        <w:rPr>
          <w:rFonts w:cs="Arial"/>
          <w:b/>
          <w:color w:val="000000"/>
          <w:sz w:val="22"/>
        </w:rPr>
        <w:t xml:space="preserve"> </w:t>
      </w:r>
    </w:p>
    <w:tbl>
      <w:tblPr>
        <w:tblW w:w="0" w:type="auto"/>
        <w:jc w:val="center"/>
        <w:tblLook w:val="04A0" w:firstRow="1" w:lastRow="0" w:firstColumn="1" w:lastColumn="0" w:noHBand="0" w:noVBand="1"/>
      </w:tblPr>
      <w:tblGrid>
        <w:gridCol w:w="2995"/>
        <w:gridCol w:w="1601"/>
        <w:gridCol w:w="1601"/>
        <w:gridCol w:w="1601"/>
      </w:tblGrid>
      <w:tr w:rsidR="00B0217B" w:rsidRPr="00C616A9" w:rsidTr="00F37C68">
        <w:trPr>
          <w:trHeight w:val="377"/>
          <w:jc w:val="center"/>
        </w:trPr>
        <w:tc>
          <w:tcPr>
            <w:tcW w:w="2995" w:type="dxa"/>
          </w:tcPr>
          <w:p w:rsidR="00B0217B" w:rsidRPr="00C616A9" w:rsidRDefault="00B0217B" w:rsidP="00B0217B">
            <w:pPr>
              <w:rPr>
                <w:rFonts w:cs="Arial"/>
                <w:color w:val="000000"/>
                <w:sz w:val="20"/>
              </w:rPr>
            </w:pPr>
          </w:p>
        </w:tc>
        <w:tc>
          <w:tcPr>
            <w:tcW w:w="1601" w:type="dxa"/>
            <w:vAlign w:val="center"/>
          </w:tcPr>
          <w:p w:rsidR="00B0217B" w:rsidRPr="00C616A9" w:rsidRDefault="00B0217B" w:rsidP="00F37C68">
            <w:pPr>
              <w:jc w:val="center"/>
              <w:rPr>
                <w:rFonts w:cs="Arial"/>
                <w:b/>
                <w:color w:val="000000"/>
                <w:sz w:val="20"/>
              </w:rPr>
            </w:pPr>
            <w:r w:rsidRPr="00C616A9">
              <w:rPr>
                <w:rFonts w:cs="Arial"/>
                <w:b/>
                <w:color w:val="000000"/>
                <w:sz w:val="20"/>
              </w:rPr>
              <w:t>Upper limit</w:t>
            </w:r>
          </w:p>
        </w:tc>
        <w:tc>
          <w:tcPr>
            <w:tcW w:w="1601" w:type="dxa"/>
            <w:vAlign w:val="center"/>
          </w:tcPr>
          <w:p w:rsidR="00B0217B" w:rsidRPr="00C616A9" w:rsidRDefault="00B0217B" w:rsidP="00F37C68">
            <w:pPr>
              <w:jc w:val="center"/>
              <w:rPr>
                <w:rFonts w:cs="Arial"/>
                <w:b/>
                <w:color w:val="000000"/>
                <w:sz w:val="20"/>
              </w:rPr>
            </w:pPr>
            <w:r w:rsidRPr="00C616A9">
              <w:rPr>
                <w:rFonts w:cs="Arial"/>
                <w:b/>
                <w:color w:val="000000"/>
                <w:sz w:val="20"/>
              </w:rPr>
              <w:t>Actual</w:t>
            </w:r>
          </w:p>
        </w:tc>
        <w:tc>
          <w:tcPr>
            <w:tcW w:w="1601" w:type="dxa"/>
          </w:tcPr>
          <w:p w:rsidR="00B0217B" w:rsidRPr="00C616A9" w:rsidRDefault="00B0217B" w:rsidP="00F37C68">
            <w:pPr>
              <w:jc w:val="center"/>
              <w:rPr>
                <w:rFonts w:cs="Arial"/>
                <w:b/>
                <w:color w:val="000000"/>
                <w:sz w:val="20"/>
              </w:rPr>
            </w:pPr>
          </w:p>
        </w:tc>
      </w:tr>
      <w:tr w:rsidR="00B0217B" w:rsidRPr="00C616A9" w:rsidTr="00F37C68">
        <w:trPr>
          <w:trHeight w:val="377"/>
          <w:jc w:val="center"/>
        </w:trPr>
        <w:tc>
          <w:tcPr>
            <w:tcW w:w="2995" w:type="dxa"/>
          </w:tcPr>
          <w:p w:rsidR="00B0217B" w:rsidRPr="00C616A9" w:rsidRDefault="00B0217B" w:rsidP="00B0217B">
            <w:pPr>
              <w:rPr>
                <w:rFonts w:cs="Arial"/>
                <w:color w:val="000000"/>
                <w:sz w:val="20"/>
              </w:rPr>
            </w:pPr>
          </w:p>
        </w:tc>
        <w:tc>
          <w:tcPr>
            <w:tcW w:w="1601" w:type="dxa"/>
            <w:vAlign w:val="center"/>
          </w:tcPr>
          <w:p w:rsidR="00B0217B" w:rsidRPr="00C616A9" w:rsidRDefault="00B0217B" w:rsidP="00F37C68">
            <w:pPr>
              <w:jc w:val="center"/>
              <w:rPr>
                <w:rFonts w:cs="Arial"/>
                <w:b/>
                <w:color w:val="000000"/>
                <w:sz w:val="20"/>
              </w:rPr>
            </w:pPr>
            <w:r w:rsidRPr="00C616A9">
              <w:rPr>
                <w:rFonts w:cs="Arial"/>
                <w:b/>
                <w:color w:val="000000"/>
                <w:sz w:val="20"/>
              </w:rPr>
              <w:t>£m</w:t>
            </w:r>
          </w:p>
        </w:tc>
        <w:tc>
          <w:tcPr>
            <w:tcW w:w="1601" w:type="dxa"/>
          </w:tcPr>
          <w:p w:rsidR="00B0217B" w:rsidRPr="00C616A9" w:rsidRDefault="00B0217B" w:rsidP="00F37C68">
            <w:pPr>
              <w:jc w:val="center"/>
              <w:rPr>
                <w:rFonts w:cs="Arial"/>
                <w:b/>
                <w:color w:val="000000"/>
                <w:sz w:val="20"/>
              </w:rPr>
            </w:pPr>
            <w:r w:rsidRPr="00C616A9">
              <w:rPr>
                <w:rFonts w:cs="Arial"/>
                <w:b/>
                <w:color w:val="000000"/>
                <w:sz w:val="20"/>
              </w:rPr>
              <w:t>£m</w:t>
            </w:r>
          </w:p>
        </w:tc>
        <w:tc>
          <w:tcPr>
            <w:tcW w:w="1601" w:type="dxa"/>
          </w:tcPr>
          <w:p w:rsidR="00B0217B" w:rsidRPr="00C616A9" w:rsidRDefault="00B0217B" w:rsidP="00F37C68">
            <w:pPr>
              <w:jc w:val="center"/>
              <w:rPr>
                <w:rFonts w:cs="Arial"/>
                <w:b/>
                <w:color w:val="000000"/>
                <w:sz w:val="20"/>
              </w:rPr>
            </w:pPr>
          </w:p>
        </w:tc>
      </w:tr>
      <w:tr w:rsidR="00B0217B" w:rsidRPr="00C616A9" w:rsidTr="00F37C68">
        <w:trPr>
          <w:trHeight w:val="377"/>
          <w:jc w:val="center"/>
        </w:trPr>
        <w:tc>
          <w:tcPr>
            <w:tcW w:w="2995" w:type="dxa"/>
          </w:tcPr>
          <w:p w:rsidR="00B0217B" w:rsidRPr="00C616A9" w:rsidRDefault="001F487D" w:rsidP="00F37C68">
            <w:pPr>
              <w:ind w:right="-744"/>
              <w:rPr>
                <w:rFonts w:cs="Arial"/>
                <w:color w:val="000000"/>
                <w:sz w:val="20"/>
              </w:rPr>
            </w:pPr>
            <w:r w:rsidRPr="00C616A9">
              <w:rPr>
                <w:rFonts w:cs="Arial"/>
                <w:color w:val="000000"/>
                <w:sz w:val="20"/>
              </w:rPr>
              <w:t xml:space="preserve">Net Interest Payable </w:t>
            </w:r>
            <w:r w:rsidR="00B0217B" w:rsidRPr="00C616A9">
              <w:rPr>
                <w:rFonts w:cs="Arial"/>
                <w:color w:val="000000"/>
                <w:sz w:val="20"/>
              </w:rPr>
              <w:t>Fixed rate</w:t>
            </w:r>
          </w:p>
        </w:tc>
        <w:tc>
          <w:tcPr>
            <w:tcW w:w="1601" w:type="dxa"/>
          </w:tcPr>
          <w:p w:rsidR="00B0217B" w:rsidRPr="00C616A9" w:rsidRDefault="002F0B22" w:rsidP="00F37C68">
            <w:pPr>
              <w:jc w:val="center"/>
              <w:rPr>
                <w:rFonts w:cs="Arial"/>
                <w:color w:val="000000"/>
                <w:sz w:val="20"/>
              </w:rPr>
            </w:pPr>
            <w:r w:rsidRPr="00C616A9">
              <w:rPr>
                <w:rFonts w:cs="Arial"/>
                <w:color w:val="000000"/>
                <w:sz w:val="20"/>
              </w:rPr>
              <w:t>37.6</w:t>
            </w:r>
          </w:p>
        </w:tc>
        <w:tc>
          <w:tcPr>
            <w:tcW w:w="1601" w:type="dxa"/>
          </w:tcPr>
          <w:p w:rsidR="00B0217B" w:rsidRPr="00C616A9" w:rsidRDefault="00C616A9" w:rsidP="00F37C68">
            <w:pPr>
              <w:jc w:val="center"/>
              <w:rPr>
                <w:rFonts w:cs="Arial"/>
                <w:color w:val="000000"/>
                <w:sz w:val="20"/>
              </w:rPr>
            </w:pPr>
            <w:r w:rsidRPr="00C616A9">
              <w:rPr>
                <w:rFonts w:cs="Arial"/>
                <w:color w:val="000000"/>
                <w:sz w:val="20"/>
              </w:rPr>
              <w:t>6.1</w:t>
            </w:r>
          </w:p>
        </w:tc>
        <w:tc>
          <w:tcPr>
            <w:tcW w:w="1601" w:type="dxa"/>
          </w:tcPr>
          <w:p w:rsidR="00B0217B" w:rsidRPr="00C616A9" w:rsidRDefault="00B0217B" w:rsidP="00F37C68">
            <w:pPr>
              <w:jc w:val="center"/>
              <w:rPr>
                <w:rFonts w:cs="Arial"/>
                <w:color w:val="000000"/>
                <w:sz w:val="20"/>
              </w:rPr>
            </w:pPr>
          </w:p>
        </w:tc>
      </w:tr>
      <w:tr w:rsidR="00B0217B" w:rsidRPr="00C616A9" w:rsidTr="00F37C68">
        <w:trPr>
          <w:trHeight w:val="377"/>
          <w:jc w:val="center"/>
        </w:trPr>
        <w:tc>
          <w:tcPr>
            <w:tcW w:w="2995" w:type="dxa"/>
          </w:tcPr>
          <w:p w:rsidR="00B0217B" w:rsidRPr="00C616A9" w:rsidRDefault="001F487D" w:rsidP="001F487D">
            <w:pPr>
              <w:rPr>
                <w:rFonts w:cs="Arial"/>
                <w:color w:val="000000"/>
                <w:sz w:val="20"/>
              </w:rPr>
            </w:pPr>
            <w:r w:rsidRPr="00C616A9">
              <w:rPr>
                <w:rFonts w:cs="Arial"/>
                <w:color w:val="000000"/>
                <w:sz w:val="20"/>
              </w:rPr>
              <w:t>Net Interest Payable Var</w:t>
            </w:r>
            <w:r w:rsidR="00A50194" w:rsidRPr="00C616A9">
              <w:rPr>
                <w:rFonts w:cs="Arial"/>
                <w:color w:val="000000"/>
                <w:sz w:val="20"/>
              </w:rPr>
              <w:t>iable</w:t>
            </w:r>
            <w:r w:rsidR="00B0217B" w:rsidRPr="00C616A9">
              <w:rPr>
                <w:rFonts w:cs="Arial"/>
                <w:color w:val="000000"/>
                <w:sz w:val="20"/>
              </w:rPr>
              <w:t xml:space="preserve"> rate</w:t>
            </w:r>
          </w:p>
          <w:p w:rsidR="002F0B22" w:rsidRPr="00C616A9" w:rsidRDefault="002F0B22" w:rsidP="001F487D">
            <w:pPr>
              <w:rPr>
                <w:rFonts w:cs="Arial"/>
                <w:color w:val="000000"/>
                <w:sz w:val="20"/>
              </w:rPr>
            </w:pPr>
          </w:p>
        </w:tc>
        <w:tc>
          <w:tcPr>
            <w:tcW w:w="1601" w:type="dxa"/>
          </w:tcPr>
          <w:p w:rsidR="00B0217B" w:rsidRPr="00C616A9" w:rsidRDefault="002F0B22" w:rsidP="00F37C68">
            <w:pPr>
              <w:jc w:val="center"/>
              <w:rPr>
                <w:rFonts w:cs="Arial"/>
                <w:color w:val="000000"/>
                <w:sz w:val="20"/>
              </w:rPr>
            </w:pPr>
            <w:r w:rsidRPr="00C616A9">
              <w:rPr>
                <w:rFonts w:cs="Arial"/>
                <w:color w:val="000000"/>
                <w:sz w:val="20"/>
              </w:rPr>
              <w:t>5.0</w:t>
            </w:r>
          </w:p>
        </w:tc>
        <w:tc>
          <w:tcPr>
            <w:tcW w:w="1601" w:type="dxa"/>
          </w:tcPr>
          <w:p w:rsidR="00B0217B" w:rsidRPr="00C616A9" w:rsidRDefault="00C616A9" w:rsidP="00F37C68">
            <w:pPr>
              <w:jc w:val="center"/>
              <w:rPr>
                <w:rFonts w:cs="Arial"/>
                <w:color w:val="000000"/>
                <w:sz w:val="20"/>
              </w:rPr>
            </w:pPr>
            <w:r w:rsidRPr="00C616A9">
              <w:rPr>
                <w:rFonts w:cs="Arial"/>
                <w:color w:val="000000"/>
                <w:sz w:val="20"/>
              </w:rPr>
              <w:t>0.5</w:t>
            </w:r>
          </w:p>
        </w:tc>
        <w:tc>
          <w:tcPr>
            <w:tcW w:w="1601" w:type="dxa"/>
          </w:tcPr>
          <w:p w:rsidR="00B0217B" w:rsidRPr="00C616A9" w:rsidRDefault="00B0217B" w:rsidP="00F37C68">
            <w:pPr>
              <w:jc w:val="center"/>
              <w:rPr>
                <w:rFonts w:cs="Arial"/>
                <w:color w:val="000000"/>
                <w:sz w:val="20"/>
              </w:rPr>
            </w:pPr>
          </w:p>
        </w:tc>
      </w:tr>
      <w:tr w:rsidR="002F0B22" w:rsidRPr="00C616A9" w:rsidTr="00F37C68">
        <w:trPr>
          <w:trHeight w:val="377"/>
          <w:jc w:val="center"/>
        </w:trPr>
        <w:tc>
          <w:tcPr>
            <w:tcW w:w="2995" w:type="dxa"/>
          </w:tcPr>
          <w:p w:rsidR="002F0B22" w:rsidRPr="00C616A9" w:rsidRDefault="002F0B22" w:rsidP="001F487D">
            <w:pPr>
              <w:rPr>
                <w:rFonts w:cs="Arial"/>
                <w:color w:val="000000"/>
                <w:sz w:val="20"/>
              </w:rPr>
            </w:pPr>
            <w:r w:rsidRPr="00C616A9">
              <w:rPr>
                <w:rFonts w:cs="Arial"/>
                <w:color w:val="000000"/>
                <w:sz w:val="20"/>
              </w:rPr>
              <w:t>1yr impact of 1% rise</w:t>
            </w:r>
          </w:p>
        </w:tc>
        <w:tc>
          <w:tcPr>
            <w:tcW w:w="1601" w:type="dxa"/>
          </w:tcPr>
          <w:p w:rsidR="002F0B22" w:rsidRPr="00C616A9" w:rsidRDefault="002F0B22" w:rsidP="00F37C68">
            <w:pPr>
              <w:jc w:val="center"/>
              <w:rPr>
                <w:rFonts w:cs="Arial"/>
                <w:color w:val="000000"/>
                <w:sz w:val="20"/>
              </w:rPr>
            </w:pPr>
            <w:r w:rsidRPr="00C616A9">
              <w:rPr>
                <w:rFonts w:cs="Arial"/>
                <w:color w:val="000000"/>
                <w:sz w:val="20"/>
              </w:rPr>
              <w:t>25.0</w:t>
            </w:r>
          </w:p>
        </w:tc>
        <w:tc>
          <w:tcPr>
            <w:tcW w:w="1601" w:type="dxa"/>
          </w:tcPr>
          <w:p w:rsidR="00B61EAB" w:rsidRPr="00C616A9" w:rsidRDefault="00C616A9" w:rsidP="00BD4F2E">
            <w:pPr>
              <w:jc w:val="center"/>
              <w:rPr>
                <w:rFonts w:cs="Arial"/>
                <w:color w:val="000000"/>
                <w:sz w:val="20"/>
              </w:rPr>
            </w:pPr>
            <w:r w:rsidRPr="00C616A9">
              <w:rPr>
                <w:rFonts w:cs="Arial"/>
                <w:color w:val="000000"/>
                <w:sz w:val="20"/>
              </w:rPr>
              <w:t>1.8</w:t>
            </w:r>
          </w:p>
        </w:tc>
        <w:tc>
          <w:tcPr>
            <w:tcW w:w="1601" w:type="dxa"/>
          </w:tcPr>
          <w:p w:rsidR="002F0B22" w:rsidRPr="00C616A9" w:rsidRDefault="002F0B22" w:rsidP="00F37C68">
            <w:pPr>
              <w:jc w:val="center"/>
              <w:rPr>
                <w:rFonts w:cs="Arial"/>
                <w:color w:val="000000"/>
                <w:sz w:val="20"/>
              </w:rPr>
            </w:pPr>
          </w:p>
        </w:tc>
      </w:tr>
    </w:tbl>
    <w:p w:rsidR="00424AA5" w:rsidRPr="0037244E" w:rsidRDefault="00424AA5" w:rsidP="00D369EF"/>
    <w:tbl>
      <w:tblPr>
        <w:tblW w:w="12222" w:type="dxa"/>
        <w:tblInd w:w="108" w:type="dxa"/>
        <w:tblLayout w:type="fixed"/>
        <w:tblLook w:val="0000" w:firstRow="0" w:lastRow="0" w:firstColumn="0" w:lastColumn="0" w:noHBand="0" w:noVBand="0"/>
      </w:tblPr>
      <w:tblGrid>
        <w:gridCol w:w="9214"/>
        <w:gridCol w:w="1764"/>
        <w:gridCol w:w="1244"/>
      </w:tblGrid>
      <w:tr w:rsidR="006C25A0" w:rsidRPr="0037244E" w:rsidTr="00455EBD">
        <w:tc>
          <w:tcPr>
            <w:tcW w:w="9214" w:type="dxa"/>
          </w:tcPr>
          <w:p w:rsidR="006C25A0" w:rsidRPr="0037244E" w:rsidRDefault="006C25A0" w:rsidP="00424AA5">
            <w:pPr>
              <w:pStyle w:val="ListParagraph"/>
              <w:numPr>
                <w:ilvl w:val="0"/>
                <w:numId w:val="11"/>
              </w:numPr>
              <w:spacing w:after="120"/>
              <w:ind w:left="34" w:hanging="34"/>
              <w:rPr>
                <w:b/>
                <w:sz w:val="22"/>
              </w:rPr>
            </w:pPr>
            <w:r w:rsidRPr="0037244E">
              <w:rPr>
                <w:b/>
                <w:sz w:val="22"/>
              </w:rPr>
              <w:t>Maturity structure of debt</w:t>
            </w:r>
          </w:p>
        </w:tc>
        <w:tc>
          <w:tcPr>
            <w:tcW w:w="1764" w:type="dxa"/>
          </w:tcPr>
          <w:p w:rsidR="006C25A0" w:rsidRPr="0037244E" w:rsidRDefault="006C25A0" w:rsidP="00455EBD">
            <w:pPr>
              <w:tabs>
                <w:tab w:val="decimal" w:pos="882"/>
              </w:tabs>
              <w:spacing w:after="240"/>
              <w:rPr>
                <w:caps/>
                <w:sz w:val="20"/>
              </w:rPr>
            </w:pPr>
          </w:p>
        </w:tc>
        <w:tc>
          <w:tcPr>
            <w:tcW w:w="1244" w:type="dxa"/>
          </w:tcPr>
          <w:p w:rsidR="006C25A0" w:rsidRPr="0037244E" w:rsidRDefault="006C25A0" w:rsidP="00455EBD">
            <w:pPr>
              <w:tabs>
                <w:tab w:val="decimal" w:pos="882"/>
              </w:tabs>
              <w:spacing w:after="240"/>
              <w:rPr>
                <w:caps/>
                <w:sz w:val="20"/>
              </w:rPr>
            </w:pPr>
          </w:p>
        </w:tc>
      </w:tr>
      <w:tr w:rsidR="006C25A0" w:rsidRPr="0037244E" w:rsidTr="00455EBD">
        <w:trPr>
          <w:cantSplit/>
        </w:trPr>
        <w:tc>
          <w:tcPr>
            <w:tcW w:w="12222" w:type="dxa"/>
            <w:gridSpan w:val="3"/>
          </w:tcPr>
          <w:tbl>
            <w:tblPr>
              <w:tblpPr w:leftFromText="180" w:rightFromText="180" w:vertAnchor="page" w:horzAnchor="page" w:tblpX="943" w:tblpY="1"/>
              <w:tblW w:w="0" w:type="auto"/>
              <w:tblLayout w:type="fixed"/>
              <w:tblLook w:val="04A0" w:firstRow="1" w:lastRow="0" w:firstColumn="1" w:lastColumn="0" w:noHBand="0" w:noVBand="1"/>
            </w:tblPr>
            <w:tblGrid>
              <w:gridCol w:w="2837"/>
              <w:gridCol w:w="1701"/>
              <w:gridCol w:w="1559"/>
              <w:gridCol w:w="1701"/>
            </w:tblGrid>
            <w:tr w:rsidR="006C25A0" w:rsidRPr="0037244E" w:rsidTr="00F37C68">
              <w:tc>
                <w:tcPr>
                  <w:tcW w:w="2837" w:type="dxa"/>
                  <w:tcBorders>
                    <w:top w:val="nil"/>
                    <w:left w:val="nil"/>
                    <w:bottom w:val="nil"/>
                    <w:right w:val="nil"/>
                  </w:tcBorders>
                </w:tcPr>
                <w:p w:rsidR="006C25A0" w:rsidRPr="0037244E" w:rsidRDefault="006C25A0" w:rsidP="00F37C68">
                  <w:pPr>
                    <w:tabs>
                      <w:tab w:val="left" w:pos="342"/>
                    </w:tabs>
                    <w:spacing w:after="120"/>
                    <w:rPr>
                      <w:sz w:val="20"/>
                    </w:rPr>
                  </w:pPr>
                </w:p>
              </w:tc>
              <w:tc>
                <w:tcPr>
                  <w:tcW w:w="1701" w:type="dxa"/>
                  <w:tcBorders>
                    <w:top w:val="nil"/>
                    <w:left w:val="nil"/>
                    <w:bottom w:val="nil"/>
                    <w:right w:val="nil"/>
                  </w:tcBorders>
                </w:tcPr>
                <w:p w:rsidR="006C25A0" w:rsidRPr="0037244E" w:rsidRDefault="006C25A0" w:rsidP="00F37C68">
                  <w:pPr>
                    <w:tabs>
                      <w:tab w:val="left" w:pos="342"/>
                    </w:tabs>
                    <w:spacing w:after="120"/>
                    <w:jc w:val="center"/>
                    <w:rPr>
                      <w:sz w:val="20"/>
                    </w:rPr>
                  </w:pPr>
                  <w:r w:rsidRPr="0037244E">
                    <w:rPr>
                      <w:sz w:val="20"/>
                    </w:rPr>
                    <w:t>Lower Limit %</w:t>
                  </w:r>
                </w:p>
              </w:tc>
              <w:tc>
                <w:tcPr>
                  <w:tcW w:w="1559" w:type="dxa"/>
                  <w:tcBorders>
                    <w:top w:val="nil"/>
                    <w:left w:val="nil"/>
                    <w:bottom w:val="nil"/>
                    <w:right w:val="nil"/>
                  </w:tcBorders>
                </w:tcPr>
                <w:p w:rsidR="006C25A0" w:rsidRPr="0037244E" w:rsidRDefault="006C25A0" w:rsidP="00F37C68">
                  <w:pPr>
                    <w:tabs>
                      <w:tab w:val="left" w:pos="342"/>
                    </w:tabs>
                    <w:spacing w:after="120"/>
                    <w:jc w:val="center"/>
                    <w:rPr>
                      <w:sz w:val="20"/>
                    </w:rPr>
                  </w:pPr>
                  <w:r w:rsidRPr="0037244E">
                    <w:rPr>
                      <w:sz w:val="20"/>
                    </w:rPr>
                    <w:t>Upper Limit %</w:t>
                  </w:r>
                </w:p>
              </w:tc>
              <w:tc>
                <w:tcPr>
                  <w:tcW w:w="1701" w:type="dxa"/>
                  <w:tcBorders>
                    <w:top w:val="nil"/>
                    <w:left w:val="nil"/>
                    <w:bottom w:val="nil"/>
                    <w:right w:val="nil"/>
                  </w:tcBorders>
                </w:tcPr>
                <w:p w:rsidR="006C25A0" w:rsidRPr="0037244E" w:rsidRDefault="006C25A0" w:rsidP="00F37C68">
                  <w:pPr>
                    <w:tabs>
                      <w:tab w:val="left" w:pos="342"/>
                    </w:tabs>
                    <w:spacing w:after="120"/>
                    <w:jc w:val="center"/>
                    <w:rPr>
                      <w:sz w:val="20"/>
                    </w:rPr>
                  </w:pPr>
                  <w:r w:rsidRPr="0037244E">
                    <w:rPr>
                      <w:sz w:val="20"/>
                    </w:rPr>
                    <w:t>Actual %</w:t>
                  </w:r>
                </w:p>
              </w:tc>
            </w:tr>
            <w:tr w:rsidR="006C25A0" w:rsidRPr="0037244E" w:rsidTr="00F37C68">
              <w:tc>
                <w:tcPr>
                  <w:tcW w:w="2837" w:type="dxa"/>
                  <w:tcBorders>
                    <w:top w:val="nil"/>
                    <w:left w:val="nil"/>
                    <w:bottom w:val="nil"/>
                    <w:right w:val="nil"/>
                  </w:tcBorders>
                </w:tcPr>
                <w:p w:rsidR="006C25A0" w:rsidRPr="0037244E" w:rsidRDefault="006C25A0" w:rsidP="00F37C68">
                  <w:pPr>
                    <w:tabs>
                      <w:tab w:val="left" w:pos="342"/>
                    </w:tabs>
                    <w:spacing w:after="120"/>
                    <w:rPr>
                      <w:sz w:val="20"/>
                    </w:rPr>
                  </w:pPr>
                  <w:r w:rsidRPr="0037244E">
                    <w:rPr>
                      <w:sz w:val="20"/>
                    </w:rPr>
                    <w:t>Under 12 months</w:t>
                  </w:r>
                </w:p>
              </w:tc>
              <w:tc>
                <w:tcPr>
                  <w:tcW w:w="1701" w:type="dxa"/>
                  <w:tcBorders>
                    <w:top w:val="nil"/>
                    <w:left w:val="nil"/>
                    <w:bottom w:val="nil"/>
                    <w:right w:val="nil"/>
                  </w:tcBorders>
                </w:tcPr>
                <w:p w:rsidR="006C25A0" w:rsidRPr="0037244E" w:rsidRDefault="006C25A0" w:rsidP="00F37C68">
                  <w:pPr>
                    <w:tabs>
                      <w:tab w:val="left" w:pos="342"/>
                    </w:tabs>
                    <w:spacing w:after="120"/>
                    <w:jc w:val="center"/>
                    <w:rPr>
                      <w:sz w:val="20"/>
                    </w:rPr>
                  </w:pPr>
                </w:p>
              </w:tc>
              <w:tc>
                <w:tcPr>
                  <w:tcW w:w="1559" w:type="dxa"/>
                  <w:tcBorders>
                    <w:top w:val="nil"/>
                    <w:left w:val="nil"/>
                    <w:bottom w:val="nil"/>
                    <w:right w:val="nil"/>
                  </w:tcBorders>
                </w:tcPr>
                <w:p w:rsidR="006C25A0" w:rsidRPr="0037244E" w:rsidRDefault="006C25A0" w:rsidP="00F37C68">
                  <w:pPr>
                    <w:tabs>
                      <w:tab w:val="left" w:pos="342"/>
                    </w:tabs>
                    <w:spacing w:after="120"/>
                    <w:jc w:val="center"/>
                    <w:rPr>
                      <w:sz w:val="20"/>
                    </w:rPr>
                  </w:pPr>
                  <w:r w:rsidRPr="0037244E">
                    <w:rPr>
                      <w:sz w:val="20"/>
                    </w:rPr>
                    <w:t>75</w:t>
                  </w:r>
                </w:p>
              </w:tc>
              <w:tc>
                <w:tcPr>
                  <w:tcW w:w="1701" w:type="dxa"/>
                  <w:tcBorders>
                    <w:top w:val="nil"/>
                    <w:left w:val="nil"/>
                    <w:bottom w:val="nil"/>
                    <w:right w:val="nil"/>
                  </w:tcBorders>
                </w:tcPr>
                <w:p w:rsidR="006C25A0" w:rsidRPr="0037244E" w:rsidRDefault="00C616A9" w:rsidP="00F37C68">
                  <w:pPr>
                    <w:tabs>
                      <w:tab w:val="left" w:pos="342"/>
                    </w:tabs>
                    <w:spacing w:after="120"/>
                    <w:jc w:val="center"/>
                    <w:rPr>
                      <w:sz w:val="20"/>
                    </w:rPr>
                  </w:pPr>
                  <w:r w:rsidRPr="0037244E">
                    <w:rPr>
                      <w:sz w:val="20"/>
                    </w:rPr>
                    <w:t>21</w:t>
                  </w:r>
                </w:p>
              </w:tc>
            </w:tr>
            <w:tr w:rsidR="006C25A0" w:rsidRPr="0037244E" w:rsidTr="00F37C68">
              <w:tc>
                <w:tcPr>
                  <w:tcW w:w="2837" w:type="dxa"/>
                  <w:tcBorders>
                    <w:top w:val="nil"/>
                    <w:left w:val="nil"/>
                    <w:bottom w:val="nil"/>
                    <w:right w:val="nil"/>
                  </w:tcBorders>
                </w:tcPr>
                <w:p w:rsidR="006C25A0" w:rsidRPr="0037244E" w:rsidRDefault="006C25A0" w:rsidP="00F37C68">
                  <w:pPr>
                    <w:tabs>
                      <w:tab w:val="left" w:pos="342"/>
                    </w:tabs>
                    <w:spacing w:after="120"/>
                    <w:rPr>
                      <w:sz w:val="20"/>
                    </w:rPr>
                  </w:pPr>
                  <w:r w:rsidRPr="0037244E">
                    <w:rPr>
                      <w:sz w:val="20"/>
                    </w:rPr>
                    <w:t>12 months and within 2 years</w:t>
                  </w:r>
                </w:p>
              </w:tc>
              <w:tc>
                <w:tcPr>
                  <w:tcW w:w="1701" w:type="dxa"/>
                  <w:tcBorders>
                    <w:top w:val="nil"/>
                    <w:left w:val="nil"/>
                    <w:bottom w:val="nil"/>
                    <w:right w:val="nil"/>
                  </w:tcBorders>
                </w:tcPr>
                <w:p w:rsidR="006C25A0" w:rsidRPr="0037244E" w:rsidRDefault="006C25A0" w:rsidP="00F37C68">
                  <w:pPr>
                    <w:tabs>
                      <w:tab w:val="left" w:pos="342"/>
                    </w:tabs>
                    <w:spacing w:after="120"/>
                    <w:jc w:val="center"/>
                    <w:rPr>
                      <w:sz w:val="20"/>
                    </w:rPr>
                  </w:pPr>
                </w:p>
              </w:tc>
              <w:tc>
                <w:tcPr>
                  <w:tcW w:w="1559" w:type="dxa"/>
                  <w:tcBorders>
                    <w:top w:val="nil"/>
                    <w:left w:val="nil"/>
                    <w:bottom w:val="nil"/>
                    <w:right w:val="nil"/>
                  </w:tcBorders>
                </w:tcPr>
                <w:p w:rsidR="006C25A0" w:rsidRPr="0037244E" w:rsidRDefault="006C25A0" w:rsidP="00F37C68">
                  <w:pPr>
                    <w:tabs>
                      <w:tab w:val="left" w:pos="342"/>
                    </w:tabs>
                    <w:spacing w:after="120"/>
                    <w:jc w:val="center"/>
                    <w:rPr>
                      <w:sz w:val="20"/>
                    </w:rPr>
                  </w:pPr>
                  <w:r w:rsidRPr="0037244E">
                    <w:rPr>
                      <w:sz w:val="20"/>
                    </w:rPr>
                    <w:t>75</w:t>
                  </w:r>
                </w:p>
              </w:tc>
              <w:tc>
                <w:tcPr>
                  <w:tcW w:w="1701" w:type="dxa"/>
                  <w:tcBorders>
                    <w:top w:val="nil"/>
                    <w:left w:val="nil"/>
                    <w:bottom w:val="nil"/>
                    <w:right w:val="nil"/>
                  </w:tcBorders>
                </w:tcPr>
                <w:p w:rsidR="006C25A0" w:rsidRPr="0037244E" w:rsidRDefault="00C616A9" w:rsidP="004A5143">
                  <w:pPr>
                    <w:tabs>
                      <w:tab w:val="left" w:pos="342"/>
                    </w:tabs>
                    <w:spacing w:after="120"/>
                    <w:jc w:val="center"/>
                    <w:rPr>
                      <w:sz w:val="20"/>
                    </w:rPr>
                  </w:pPr>
                  <w:r w:rsidRPr="0037244E">
                    <w:rPr>
                      <w:sz w:val="20"/>
                    </w:rPr>
                    <w:t>46</w:t>
                  </w:r>
                </w:p>
              </w:tc>
            </w:tr>
            <w:tr w:rsidR="006C25A0" w:rsidRPr="0037244E" w:rsidTr="00F37C68">
              <w:tc>
                <w:tcPr>
                  <w:tcW w:w="2837" w:type="dxa"/>
                  <w:tcBorders>
                    <w:top w:val="nil"/>
                    <w:left w:val="nil"/>
                    <w:bottom w:val="nil"/>
                    <w:right w:val="nil"/>
                  </w:tcBorders>
                </w:tcPr>
                <w:p w:rsidR="006C25A0" w:rsidRPr="0037244E" w:rsidRDefault="006C25A0" w:rsidP="00F37C68">
                  <w:pPr>
                    <w:tabs>
                      <w:tab w:val="left" w:pos="342"/>
                    </w:tabs>
                    <w:spacing w:after="120"/>
                    <w:rPr>
                      <w:sz w:val="20"/>
                    </w:rPr>
                  </w:pPr>
                  <w:r w:rsidRPr="0037244E">
                    <w:rPr>
                      <w:sz w:val="20"/>
                    </w:rPr>
                    <w:t>2 years and within 5 years</w:t>
                  </w:r>
                </w:p>
              </w:tc>
              <w:tc>
                <w:tcPr>
                  <w:tcW w:w="1701" w:type="dxa"/>
                  <w:tcBorders>
                    <w:top w:val="nil"/>
                    <w:left w:val="nil"/>
                    <w:bottom w:val="nil"/>
                    <w:right w:val="nil"/>
                  </w:tcBorders>
                </w:tcPr>
                <w:p w:rsidR="006C25A0" w:rsidRPr="0037244E" w:rsidRDefault="006C25A0" w:rsidP="00F37C68">
                  <w:pPr>
                    <w:tabs>
                      <w:tab w:val="left" w:pos="342"/>
                    </w:tabs>
                    <w:spacing w:after="120"/>
                    <w:jc w:val="center"/>
                    <w:rPr>
                      <w:sz w:val="20"/>
                    </w:rPr>
                  </w:pPr>
                </w:p>
              </w:tc>
              <w:tc>
                <w:tcPr>
                  <w:tcW w:w="1559" w:type="dxa"/>
                  <w:tcBorders>
                    <w:top w:val="nil"/>
                    <w:left w:val="nil"/>
                    <w:bottom w:val="nil"/>
                    <w:right w:val="nil"/>
                  </w:tcBorders>
                </w:tcPr>
                <w:p w:rsidR="006C25A0" w:rsidRPr="0037244E" w:rsidRDefault="006C25A0" w:rsidP="00F37C68">
                  <w:pPr>
                    <w:tabs>
                      <w:tab w:val="left" w:pos="342"/>
                    </w:tabs>
                    <w:spacing w:after="120"/>
                    <w:jc w:val="center"/>
                    <w:rPr>
                      <w:sz w:val="20"/>
                    </w:rPr>
                  </w:pPr>
                  <w:r w:rsidRPr="0037244E">
                    <w:rPr>
                      <w:sz w:val="20"/>
                    </w:rPr>
                    <w:t>75</w:t>
                  </w:r>
                </w:p>
              </w:tc>
              <w:tc>
                <w:tcPr>
                  <w:tcW w:w="1701" w:type="dxa"/>
                  <w:tcBorders>
                    <w:top w:val="nil"/>
                    <w:left w:val="nil"/>
                    <w:bottom w:val="nil"/>
                    <w:right w:val="nil"/>
                  </w:tcBorders>
                </w:tcPr>
                <w:p w:rsidR="006C25A0" w:rsidRPr="0037244E" w:rsidRDefault="007D5CE4" w:rsidP="00F37C68">
                  <w:pPr>
                    <w:tabs>
                      <w:tab w:val="left" w:pos="342"/>
                    </w:tabs>
                    <w:spacing w:after="120"/>
                    <w:jc w:val="center"/>
                    <w:rPr>
                      <w:sz w:val="20"/>
                    </w:rPr>
                  </w:pPr>
                  <w:r w:rsidRPr="0037244E">
                    <w:rPr>
                      <w:sz w:val="20"/>
                    </w:rPr>
                    <w:t>7</w:t>
                  </w:r>
                </w:p>
              </w:tc>
            </w:tr>
            <w:tr w:rsidR="006C25A0" w:rsidRPr="0037244E" w:rsidTr="00F37C68">
              <w:tc>
                <w:tcPr>
                  <w:tcW w:w="2837" w:type="dxa"/>
                  <w:tcBorders>
                    <w:top w:val="nil"/>
                    <w:left w:val="nil"/>
                    <w:bottom w:val="nil"/>
                    <w:right w:val="nil"/>
                  </w:tcBorders>
                </w:tcPr>
                <w:p w:rsidR="006C25A0" w:rsidRPr="0037244E" w:rsidRDefault="006C25A0" w:rsidP="00F37C68">
                  <w:pPr>
                    <w:tabs>
                      <w:tab w:val="left" w:pos="342"/>
                    </w:tabs>
                    <w:spacing w:after="120"/>
                    <w:rPr>
                      <w:sz w:val="20"/>
                    </w:rPr>
                  </w:pPr>
                  <w:r w:rsidRPr="0037244E">
                    <w:rPr>
                      <w:sz w:val="20"/>
                    </w:rPr>
                    <w:t>5 years and within 10 years</w:t>
                  </w:r>
                </w:p>
              </w:tc>
              <w:tc>
                <w:tcPr>
                  <w:tcW w:w="1701" w:type="dxa"/>
                  <w:tcBorders>
                    <w:top w:val="nil"/>
                    <w:left w:val="nil"/>
                    <w:bottom w:val="nil"/>
                    <w:right w:val="nil"/>
                  </w:tcBorders>
                </w:tcPr>
                <w:p w:rsidR="006C25A0" w:rsidRPr="0037244E" w:rsidRDefault="006C25A0" w:rsidP="00F37C68">
                  <w:pPr>
                    <w:tabs>
                      <w:tab w:val="left" w:pos="342"/>
                    </w:tabs>
                    <w:spacing w:after="120"/>
                    <w:jc w:val="center"/>
                    <w:rPr>
                      <w:sz w:val="20"/>
                    </w:rPr>
                  </w:pPr>
                </w:p>
              </w:tc>
              <w:tc>
                <w:tcPr>
                  <w:tcW w:w="1559" w:type="dxa"/>
                  <w:tcBorders>
                    <w:top w:val="nil"/>
                    <w:left w:val="nil"/>
                    <w:bottom w:val="nil"/>
                    <w:right w:val="nil"/>
                  </w:tcBorders>
                </w:tcPr>
                <w:p w:rsidR="006C25A0" w:rsidRPr="0037244E" w:rsidRDefault="006C25A0" w:rsidP="00F37C68">
                  <w:pPr>
                    <w:tabs>
                      <w:tab w:val="left" w:pos="342"/>
                    </w:tabs>
                    <w:spacing w:after="120"/>
                    <w:jc w:val="center"/>
                    <w:rPr>
                      <w:sz w:val="20"/>
                    </w:rPr>
                  </w:pPr>
                  <w:r w:rsidRPr="0037244E">
                    <w:rPr>
                      <w:sz w:val="20"/>
                    </w:rPr>
                    <w:t>75</w:t>
                  </w:r>
                </w:p>
              </w:tc>
              <w:tc>
                <w:tcPr>
                  <w:tcW w:w="1701" w:type="dxa"/>
                  <w:tcBorders>
                    <w:top w:val="nil"/>
                    <w:left w:val="nil"/>
                    <w:bottom w:val="nil"/>
                    <w:right w:val="nil"/>
                  </w:tcBorders>
                </w:tcPr>
                <w:p w:rsidR="006C25A0" w:rsidRPr="0037244E" w:rsidRDefault="00C616A9" w:rsidP="00F37C68">
                  <w:pPr>
                    <w:tabs>
                      <w:tab w:val="left" w:pos="342"/>
                    </w:tabs>
                    <w:spacing w:after="120"/>
                    <w:jc w:val="center"/>
                    <w:rPr>
                      <w:sz w:val="20"/>
                    </w:rPr>
                  </w:pPr>
                  <w:r w:rsidRPr="0037244E">
                    <w:rPr>
                      <w:sz w:val="20"/>
                    </w:rPr>
                    <w:t>5</w:t>
                  </w:r>
                </w:p>
              </w:tc>
            </w:tr>
            <w:tr w:rsidR="006C25A0" w:rsidRPr="0037244E" w:rsidTr="00F37C68">
              <w:tc>
                <w:tcPr>
                  <w:tcW w:w="2837" w:type="dxa"/>
                  <w:tcBorders>
                    <w:top w:val="nil"/>
                    <w:left w:val="nil"/>
                    <w:bottom w:val="nil"/>
                    <w:right w:val="nil"/>
                  </w:tcBorders>
                </w:tcPr>
                <w:p w:rsidR="006C25A0" w:rsidRPr="0037244E" w:rsidRDefault="006C25A0" w:rsidP="00F37C68">
                  <w:pPr>
                    <w:tabs>
                      <w:tab w:val="left" w:pos="342"/>
                    </w:tabs>
                    <w:spacing w:after="120"/>
                    <w:rPr>
                      <w:sz w:val="20"/>
                    </w:rPr>
                  </w:pPr>
                  <w:r w:rsidRPr="0037244E">
                    <w:rPr>
                      <w:sz w:val="20"/>
                    </w:rPr>
                    <w:t>10 years and above</w:t>
                  </w:r>
                </w:p>
              </w:tc>
              <w:tc>
                <w:tcPr>
                  <w:tcW w:w="1701" w:type="dxa"/>
                  <w:tcBorders>
                    <w:top w:val="nil"/>
                    <w:left w:val="nil"/>
                    <w:bottom w:val="nil"/>
                    <w:right w:val="nil"/>
                  </w:tcBorders>
                </w:tcPr>
                <w:p w:rsidR="006C25A0" w:rsidRPr="0037244E" w:rsidRDefault="006C25A0" w:rsidP="00F37C68">
                  <w:pPr>
                    <w:tabs>
                      <w:tab w:val="left" w:pos="342"/>
                    </w:tabs>
                    <w:spacing w:after="120"/>
                    <w:jc w:val="center"/>
                    <w:rPr>
                      <w:sz w:val="20"/>
                    </w:rPr>
                  </w:pPr>
                  <w:r w:rsidRPr="0037244E">
                    <w:rPr>
                      <w:sz w:val="20"/>
                    </w:rPr>
                    <w:t>25</w:t>
                  </w:r>
                </w:p>
              </w:tc>
              <w:tc>
                <w:tcPr>
                  <w:tcW w:w="1559" w:type="dxa"/>
                  <w:tcBorders>
                    <w:top w:val="nil"/>
                    <w:left w:val="nil"/>
                    <w:bottom w:val="nil"/>
                    <w:right w:val="nil"/>
                  </w:tcBorders>
                </w:tcPr>
                <w:p w:rsidR="006C25A0" w:rsidRPr="0037244E" w:rsidRDefault="006C25A0" w:rsidP="00F37C68">
                  <w:pPr>
                    <w:tabs>
                      <w:tab w:val="left" w:pos="342"/>
                    </w:tabs>
                    <w:spacing w:after="120"/>
                    <w:jc w:val="center"/>
                    <w:rPr>
                      <w:sz w:val="20"/>
                    </w:rPr>
                  </w:pPr>
                  <w:r w:rsidRPr="0037244E">
                    <w:rPr>
                      <w:sz w:val="20"/>
                    </w:rPr>
                    <w:t>100</w:t>
                  </w:r>
                </w:p>
              </w:tc>
              <w:tc>
                <w:tcPr>
                  <w:tcW w:w="1701" w:type="dxa"/>
                  <w:tcBorders>
                    <w:top w:val="nil"/>
                    <w:left w:val="nil"/>
                    <w:bottom w:val="nil"/>
                    <w:right w:val="nil"/>
                  </w:tcBorders>
                </w:tcPr>
                <w:p w:rsidR="006C25A0" w:rsidRPr="0037244E" w:rsidRDefault="007D5CE4" w:rsidP="00F37C68">
                  <w:pPr>
                    <w:tabs>
                      <w:tab w:val="left" w:pos="342"/>
                    </w:tabs>
                    <w:spacing w:after="120"/>
                    <w:jc w:val="center"/>
                    <w:rPr>
                      <w:sz w:val="20"/>
                    </w:rPr>
                  </w:pPr>
                  <w:r w:rsidRPr="0037244E">
                    <w:rPr>
                      <w:sz w:val="20"/>
                    </w:rPr>
                    <w:t>2</w:t>
                  </w:r>
                  <w:r w:rsidR="00C616A9" w:rsidRPr="0037244E">
                    <w:rPr>
                      <w:sz w:val="20"/>
                    </w:rPr>
                    <w:t>1</w:t>
                  </w:r>
                </w:p>
              </w:tc>
            </w:tr>
          </w:tbl>
          <w:p w:rsidR="006C25A0" w:rsidRPr="0037244E" w:rsidRDefault="006C25A0" w:rsidP="00455EBD">
            <w:pPr>
              <w:tabs>
                <w:tab w:val="left" w:pos="342"/>
              </w:tabs>
              <w:spacing w:after="120"/>
              <w:ind w:left="342"/>
              <w:rPr>
                <w:sz w:val="20"/>
              </w:rPr>
            </w:pPr>
          </w:p>
        </w:tc>
      </w:tr>
    </w:tbl>
    <w:p w:rsidR="006C25A0" w:rsidRPr="00DE7585" w:rsidRDefault="006C25A0" w:rsidP="00D369EF">
      <w:pPr>
        <w:rPr>
          <w:highlight w:val="yellow"/>
        </w:rPr>
      </w:pPr>
    </w:p>
    <w:p w:rsidR="006C25A0" w:rsidRPr="0037244E" w:rsidRDefault="006C25A0" w:rsidP="00D369EF"/>
    <w:p w:rsidR="00266F95" w:rsidRPr="0037244E" w:rsidRDefault="006C25A0" w:rsidP="00B61EAB">
      <w:pPr>
        <w:pStyle w:val="ListParagraph"/>
        <w:numPr>
          <w:ilvl w:val="0"/>
          <w:numId w:val="11"/>
        </w:numPr>
        <w:ind w:hanging="720"/>
        <w:rPr>
          <w:rFonts w:cs="Arial"/>
          <w:b/>
          <w:color w:val="000000"/>
          <w:sz w:val="22"/>
        </w:rPr>
      </w:pPr>
      <w:r w:rsidRPr="0037244E">
        <w:rPr>
          <w:rFonts w:cs="Arial"/>
          <w:b/>
          <w:color w:val="000000"/>
          <w:sz w:val="22"/>
        </w:rPr>
        <w:t>Investments over 365 days</w:t>
      </w:r>
    </w:p>
    <w:tbl>
      <w:tblPr>
        <w:tblW w:w="0" w:type="auto"/>
        <w:jc w:val="center"/>
        <w:tblLook w:val="04A0" w:firstRow="1" w:lastRow="0" w:firstColumn="1" w:lastColumn="0" w:noHBand="0" w:noVBand="1"/>
      </w:tblPr>
      <w:tblGrid>
        <w:gridCol w:w="4342"/>
        <w:gridCol w:w="1238"/>
        <w:gridCol w:w="1238"/>
      </w:tblGrid>
      <w:tr w:rsidR="006C25A0" w:rsidRPr="0037244E" w:rsidTr="00B61EAB">
        <w:trPr>
          <w:trHeight w:val="133"/>
          <w:jc w:val="center"/>
        </w:trPr>
        <w:tc>
          <w:tcPr>
            <w:tcW w:w="4342" w:type="dxa"/>
          </w:tcPr>
          <w:p w:rsidR="006C25A0" w:rsidRPr="0037244E" w:rsidRDefault="006C25A0" w:rsidP="00455EBD">
            <w:pPr>
              <w:rPr>
                <w:rFonts w:cs="Arial"/>
                <w:color w:val="000000"/>
                <w:sz w:val="20"/>
              </w:rPr>
            </w:pPr>
          </w:p>
        </w:tc>
        <w:tc>
          <w:tcPr>
            <w:tcW w:w="1238" w:type="dxa"/>
            <w:vAlign w:val="center"/>
          </w:tcPr>
          <w:p w:rsidR="006C25A0" w:rsidRPr="0037244E" w:rsidRDefault="006C25A0" w:rsidP="00F37C68">
            <w:pPr>
              <w:jc w:val="center"/>
              <w:rPr>
                <w:rFonts w:cs="Arial"/>
                <w:b/>
                <w:color w:val="000000"/>
                <w:sz w:val="20"/>
              </w:rPr>
            </w:pPr>
            <w:r w:rsidRPr="0037244E">
              <w:rPr>
                <w:rFonts w:cs="Arial"/>
                <w:b/>
                <w:color w:val="000000"/>
                <w:sz w:val="20"/>
              </w:rPr>
              <w:t>Upper limit</w:t>
            </w:r>
          </w:p>
        </w:tc>
        <w:tc>
          <w:tcPr>
            <w:tcW w:w="1238" w:type="dxa"/>
            <w:vAlign w:val="center"/>
          </w:tcPr>
          <w:p w:rsidR="006C25A0" w:rsidRPr="0037244E" w:rsidRDefault="006C25A0" w:rsidP="00F37C68">
            <w:pPr>
              <w:jc w:val="center"/>
              <w:rPr>
                <w:rFonts w:cs="Arial"/>
                <w:b/>
                <w:color w:val="000000"/>
                <w:sz w:val="20"/>
              </w:rPr>
            </w:pPr>
            <w:r w:rsidRPr="0037244E">
              <w:rPr>
                <w:rFonts w:cs="Arial"/>
                <w:b/>
                <w:color w:val="000000"/>
                <w:sz w:val="20"/>
              </w:rPr>
              <w:t>Actual</w:t>
            </w:r>
          </w:p>
        </w:tc>
      </w:tr>
      <w:tr w:rsidR="006C25A0" w:rsidRPr="0037244E" w:rsidTr="00B61EAB">
        <w:trPr>
          <w:trHeight w:val="133"/>
          <w:jc w:val="center"/>
        </w:trPr>
        <w:tc>
          <w:tcPr>
            <w:tcW w:w="4342" w:type="dxa"/>
          </w:tcPr>
          <w:p w:rsidR="006C25A0" w:rsidRPr="0037244E" w:rsidRDefault="006C25A0" w:rsidP="00455EBD">
            <w:pPr>
              <w:rPr>
                <w:rFonts w:cs="Arial"/>
                <w:color w:val="000000"/>
                <w:sz w:val="20"/>
              </w:rPr>
            </w:pPr>
          </w:p>
        </w:tc>
        <w:tc>
          <w:tcPr>
            <w:tcW w:w="1238" w:type="dxa"/>
            <w:vAlign w:val="center"/>
          </w:tcPr>
          <w:p w:rsidR="006C25A0" w:rsidRPr="0037244E" w:rsidRDefault="006C25A0" w:rsidP="00F37C68">
            <w:pPr>
              <w:jc w:val="center"/>
              <w:rPr>
                <w:rFonts w:cs="Arial"/>
                <w:b/>
                <w:color w:val="000000"/>
                <w:sz w:val="20"/>
              </w:rPr>
            </w:pPr>
            <w:r w:rsidRPr="0037244E">
              <w:rPr>
                <w:rFonts w:cs="Arial"/>
                <w:b/>
                <w:color w:val="000000"/>
                <w:sz w:val="20"/>
              </w:rPr>
              <w:t>£m</w:t>
            </w:r>
          </w:p>
        </w:tc>
        <w:tc>
          <w:tcPr>
            <w:tcW w:w="1238" w:type="dxa"/>
            <w:vAlign w:val="center"/>
          </w:tcPr>
          <w:p w:rsidR="006C25A0" w:rsidRPr="0037244E" w:rsidRDefault="006C25A0" w:rsidP="00F37C68">
            <w:pPr>
              <w:jc w:val="center"/>
              <w:rPr>
                <w:rFonts w:cs="Arial"/>
                <w:b/>
                <w:color w:val="000000"/>
                <w:sz w:val="20"/>
              </w:rPr>
            </w:pPr>
            <w:r w:rsidRPr="0037244E">
              <w:rPr>
                <w:rFonts w:cs="Arial"/>
                <w:b/>
                <w:color w:val="000000"/>
                <w:sz w:val="20"/>
              </w:rPr>
              <w:t>£m</w:t>
            </w:r>
          </w:p>
        </w:tc>
      </w:tr>
      <w:tr w:rsidR="006C25A0" w:rsidRPr="0037244E" w:rsidTr="00B61EAB">
        <w:trPr>
          <w:trHeight w:val="133"/>
          <w:jc w:val="center"/>
        </w:trPr>
        <w:tc>
          <w:tcPr>
            <w:tcW w:w="4342" w:type="dxa"/>
          </w:tcPr>
          <w:p w:rsidR="006C25A0" w:rsidRPr="0037244E" w:rsidRDefault="006C25A0" w:rsidP="00455EBD">
            <w:pPr>
              <w:rPr>
                <w:rFonts w:cs="Arial"/>
                <w:color w:val="000000"/>
                <w:sz w:val="20"/>
              </w:rPr>
            </w:pPr>
          </w:p>
        </w:tc>
        <w:tc>
          <w:tcPr>
            <w:tcW w:w="1238" w:type="dxa"/>
          </w:tcPr>
          <w:p w:rsidR="006C25A0" w:rsidRPr="0037244E" w:rsidRDefault="006C25A0" w:rsidP="00F37C68">
            <w:pPr>
              <w:jc w:val="center"/>
              <w:rPr>
                <w:rFonts w:cs="Arial"/>
                <w:color w:val="000000"/>
                <w:sz w:val="20"/>
              </w:rPr>
            </w:pPr>
          </w:p>
        </w:tc>
        <w:tc>
          <w:tcPr>
            <w:tcW w:w="1238" w:type="dxa"/>
          </w:tcPr>
          <w:p w:rsidR="006C25A0" w:rsidRPr="0037244E" w:rsidRDefault="006C25A0" w:rsidP="00F37C68">
            <w:pPr>
              <w:jc w:val="center"/>
              <w:rPr>
                <w:rFonts w:cs="Arial"/>
                <w:color w:val="000000"/>
                <w:sz w:val="20"/>
              </w:rPr>
            </w:pPr>
          </w:p>
        </w:tc>
      </w:tr>
      <w:tr w:rsidR="006C25A0" w:rsidRPr="0037244E" w:rsidTr="00B61EAB">
        <w:trPr>
          <w:trHeight w:val="622"/>
          <w:jc w:val="center"/>
        </w:trPr>
        <w:tc>
          <w:tcPr>
            <w:tcW w:w="4342" w:type="dxa"/>
          </w:tcPr>
          <w:p w:rsidR="006C25A0" w:rsidRPr="0037244E" w:rsidRDefault="006C25A0" w:rsidP="00455EBD">
            <w:pPr>
              <w:rPr>
                <w:rFonts w:cs="Arial"/>
                <w:color w:val="000000"/>
                <w:sz w:val="20"/>
              </w:rPr>
            </w:pPr>
            <w:r w:rsidRPr="0037244E">
              <w:rPr>
                <w:rFonts w:cs="Arial"/>
                <w:color w:val="000000"/>
                <w:sz w:val="20"/>
              </w:rPr>
              <w:t>Total invested over 364 days</w:t>
            </w:r>
          </w:p>
        </w:tc>
        <w:tc>
          <w:tcPr>
            <w:tcW w:w="1238" w:type="dxa"/>
          </w:tcPr>
          <w:p w:rsidR="006C25A0" w:rsidRPr="0037244E" w:rsidRDefault="0037244E" w:rsidP="00F37C68">
            <w:pPr>
              <w:jc w:val="center"/>
              <w:rPr>
                <w:rFonts w:cs="Arial"/>
                <w:color w:val="000000"/>
                <w:sz w:val="20"/>
              </w:rPr>
            </w:pPr>
            <w:r>
              <w:rPr>
                <w:rFonts w:cs="Arial"/>
                <w:color w:val="000000"/>
                <w:sz w:val="20"/>
              </w:rPr>
              <w:t>9</w:t>
            </w:r>
            <w:r w:rsidR="00920396" w:rsidRPr="0037244E">
              <w:rPr>
                <w:rFonts w:cs="Arial"/>
                <w:color w:val="000000"/>
                <w:sz w:val="20"/>
              </w:rPr>
              <w:t>00</w:t>
            </w:r>
          </w:p>
        </w:tc>
        <w:tc>
          <w:tcPr>
            <w:tcW w:w="1238" w:type="dxa"/>
          </w:tcPr>
          <w:p w:rsidR="00455EBD" w:rsidRPr="0037244E" w:rsidRDefault="0037244E" w:rsidP="00F37C68">
            <w:pPr>
              <w:jc w:val="center"/>
              <w:rPr>
                <w:rFonts w:cs="Arial"/>
                <w:color w:val="000000"/>
                <w:sz w:val="20"/>
              </w:rPr>
            </w:pPr>
            <w:r w:rsidRPr="0037244E">
              <w:rPr>
                <w:rFonts w:cs="Arial"/>
                <w:color w:val="000000"/>
                <w:sz w:val="20"/>
              </w:rPr>
              <w:t>450</w:t>
            </w:r>
          </w:p>
          <w:p w:rsidR="00455EBD" w:rsidRPr="0037244E" w:rsidRDefault="00455EBD" w:rsidP="00F37C68">
            <w:pPr>
              <w:jc w:val="center"/>
              <w:rPr>
                <w:rFonts w:cs="Arial"/>
                <w:color w:val="000000"/>
                <w:sz w:val="20"/>
              </w:rPr>
            </w:pPr>
          </w:p>
          <w:p w:rsidR="001D1580" w:rsidRPr="0037244E" w:rsidRDefault="001D1580" w:rsidP="001D1580">
            <w:pPr>
              <w:rPr>
                <w:rFonts w:cs="Arial"/>
                <w:color w:val="000000"/>
                <w:sz w:val="20"/>
              </w:rPr>
            </w:pPr>
          </w:p>
        </w:tc>
      </w:tr>
    </w:tbl>
    <w:p w:rsidR="00B61EAB" w:rsidRPr="008A6825" w:rsidRDefault="00B61EAB" w:rsidP="00266F95">
      <w:pPr>
        <w:pStyle w:val="ListParagraph"/>
        <w:tabs>
          <w:tab w:val="left" w:pos="0"/>
        </w:tabs>
        <w:ind w:left="0"/>
        <w:rPr>
          <w:rFonts w:cs="Arial"/>
          <w:b/>
          <w:color w:val="000000"/>
          <w:sz w:val="22"/>
        </w:rPr>
      </w:pPr>
    </w:p>
    <w:p w:rsidR="00455EBD" w:rsidRPr="006A6843" w:rsidRDefault="00455EBD" w:rsidP="006A6843">
      <w:pPr>
        <w:pStyle w:val="ListParagraph"/>
        <w:numPr>
          <w:ilvl w:val="0"/>
          <w:numId w:val="11"/>
        </w:numPr>
        <w:tabs>
          <w:tab w:val="left" w:pos="0"/>
        </w:tabs>
        <w:ind w:left="0" w:firstLine="0"/>
        <w:rPr>
          <w:rFonts w:cs="Arial"/>
          <w:b/>
          <w:color w:val="000000"/>
          <w:sz w:val="22"/>
        </w:rPr>
      </w:pPr>
      <w:bookmarkStart w:id="0" w:name="_GoBack"/>
      <w:bookmarkEnd w:id="0"/>
      <w:r w:rsidRPr="006A6843">
        <w:rPr>
          <w:rFonts w:cs="Arial"/>
          <w:b/>
          <w:color w:val="000000"/>
          <w:sz w:val="22"/>
        </w:rPr>
        <w:t>Minimum Average Credit Rating</w:t>
      </w:r>
    </w:p>
    <w:tbl>
      <w:tblPr>
        <w:tblW w:w="0" w:type="auto"/>
        <w:jc w:val="center"/>
        <w:tblLook w:val="04A0" w:firstRow="1" w:lastRow="0" w:firstColumn="1" w:lastColumn="0" w:noHBand="0" w:noVBand="1"/>
      </w:tblPr>
      <w:tblGrid>
        <w:gridCol w:w="4476"/>
        <w:gridCol w:w="1306"/>
        <w:gridCol w:w="1276"/>
      </w:tblGrid>
      <w:tr w:rsidR="00455EBD" w:rsidRPr="00DE7585" w:rsidTr="00F37C68">
        <w:trPr>
          <w:jc w:val="center"/>
        </w:trPr>
        <w:tc>
          <w:tcPr>
            <w:tcW w:w="4476" w:type="dxa"/>
          </w:tcPr>
          <w:p w:rsidR="00455EBD" w:rsidRPr="0037244E" w:rsidRDefault="00455EBD" w:rsidP="00455EBD">
            <w:pPr>
              <w:rPr>
                <w:rFonts w:cs="Arial"/>
                <w:color w:val="000000"/>
                <w:sz w:val="20"/>
              </w:rPr>
            </w:pPr>
          </w:p>
        </w:tc>
        <w:tc>
          <w:tcPr>
            <w:tcW w:w="1276" w:type="dxa"/>
            <w:vAlign w:val="center"/>
          </w:tcPr>
          <w:p w:rsidR="00455EBD" w:rsidRPr="0037244E" w:rsidRDefault="00455EBD" w:rsidP="00F37C68">
            <w:pPr>
              <w:jc w:val="center"/>
              <w:rPr>
                <w:rFonts w:cs="Arial"/>
                <w:b/>
                <w:color w:val="000000"/>
                <w:sz w:val="20"/>
              </w:rPr>
            </w:pPr>
            <w:r w:rsidRPr="0037244E">
              <w:rPr>
                <w:rFonts w:cs="Arial"/>
                <w:b/>
                <w:color w:val="000000"/>
                <w:sz w:val="20"/>
              </w:rPr>
              <w:t>Benchmark</w:t>
            </w:r>
          </w:p>
        </w:tc>
        <w:tc>
          <w:tcPr>
            <w:tcW w:w="1276" w:type="dxa"/>
            <w:vAlign w:val="center"/>
          </w:tcPr>
          <w:p w:rsidR="00455EBD" w:rsidRPr="0037244E" w:rsidRDefault="00455EBD" w:rsidP="00F37C68">
            <w:pPr>
              <w:jc w:val="center"/>
              <w:rPr>
                <w:rFonts w:cs="Arial"/>
                <w:b/>
                <w:color w:val="000000"/>
                <w:sz w:val="20"/>
              </w:rPr>
            </w:pPr>
            <w:r w:rsidRPr="0037244E">
              <w:rPr>
                <w:rFonts w:cs="Arial"/>
                <w:b/>
                <w:color w:val="000000"/>
                <w:sz w:val="20"/>
              </w:rPr>
              <w:t>Actual</w:t>
            </w:r>
          </w:p>
        </w:tc>
      </w:tr>
      <w:tr w:rsidR="00455EBD" w:rsidRPr="00DE7585" w:rsidTr="00F37C68">
        <w:trPr>
          <w:jc w:val="center"/>
        </w:trPr>
        <w:tc>
          <w:tcPr>
            <w:tcW w:w="4476" w:type="dxa"/>
          </w:tcPr>
          <w:p w:rsidR="00455EBD" w:rsidRPr="0037244E" w:rsidRDefault="00455EBD" w:rsidP="00455EBD">
            <w:pPr>
              <w:rPr>
                <w:rFonts w:cs="Arial"/>
                <w:color w:val="000000"/>
                <w:sz w:val="20"/>
              </w:rPr>
            </w:pPr>
          </w:p>
        </w:tc>
        <w:tc>
          <w:tcPr>
            <w:tcW w:w="1276" w:type="dxa"/>
          </w:tcPr>
          <w:p w:rsidR="00455EBD" w:rsidRPr="0037244E" w:rsidRDefault="00455EBD" w:rsidP="00F37C68">
            <w:pPr>
              <w:jc w:val="center"/>
              <w:rPr>
                <w:rFonts w:cs="Arial"/>
                <w:color w:val="000000"/>
                <w:sz w:val="20"/>
              </w:rPr>
            </w:pPr>
          </w:p>
        </w:tc>
        <w:tc>
          <w:tcPr>
            <w:tcW w:w="1276" w:type="dxa"/>
          </w:tcPr>
          <w:p w:rsidR="00455EBD" w:rsidRPr="0037244E" w:rsidRDefault="00455EBD" w:rsidP="00F37C68">
            <w:pPr>
              <w:jc w:val="center"/>
              <w:rPr>
                <w:rFonts w:cs="Arial"/>
                <w:color w:val="000000"/>
                <w:sz w:val="20"/>
              </w:rPr>
            </w:pPr>
          </w:p>
        </w:tc>
      </w:tr>
      <w:tr w:rsidR="00455EBD" w:rsidRPr="00DE7585" w:rsidTr="00F37C68">
        <w:trPr>
          <w:jc w:val="center"/>
        </w:trPr>
        <w:tc>
          <w:tcPr>
            <w:tcW w:w="4476" w:type="dxa"/>
          </w:tcPr>
          <w:p w:rsidR="00455EBD" w:rsidRPr="0037244E" w:rsidRDefault="00455EBD" w:rsidP="00455EBD">
            <w:pPr>
              <w:rPr>
                <w:rFonts w:cs="Arial"/>
                <w:color w:val="000000"/>
                <w:sz w:val="20"/>
              </w:rPr>
            </w:pPr>
            <w:r w:rsidRPr="0037244E">
              <w:rPr>
                <w:rFonts w:cs="Arial"/>
                <w:color w:val="000000"/>
                <w:sz w:val="20"/>
              </w:rPr>
              <w:lastRenderedPageBreak/>
              <w:t>Average counterparty credit rating</w:t>
            </w:r>
          </w:p>
        </w:tc>
        <w:tc>
          <w:tcPr>
            <w:tcW w:w="1276" w:type="dxa"/>
          </w:tcPr>
          <w:p w:rsidR="00455EBD" w:rsidRPr="0037244E" w:rsidRDefault="00455EBD" w:rsidP="00F37C68">
            <w:pPr>
              <w:jc w:val="center"/>
              <w:rPr>
                <w:rFonts w:cs="Arial"/>
                <w:color w:val="000000"/>
                <w:sz w:val="20"/>
              </w:rPr>
            </w:pPr>
            <w:r w:rsidRPr="0037244E">
              <w:rPr>
                <w:rFonts w:cs="Arial"/>
                <w:color w:val="000000"/>
                <w:sz w:val="20"/>
              </w:rPr>
              <w:t>A+</w:t>
            </w:r>
          </w:p>
        </w:tc>
        <w:tc>
          <w:tcPr>
            <w:tcW w:w="1276" w:type="dxa"/>
          </w:tcPr>
          <w:p w:rsidR="00455EBD" w:rsidRPr="0037244E" w:rsidRDefault="00455EBD" w:rsidP="00F37C68">
            <w:pPr>
              <w:jc w:val="center"/>
              <w:rPr>
                <w:rFonts w:cs="Arial"/>
                <w:color w:val="000000"/>
                <w:sz w:val="20"/>
              </w:rPr>
            </w:pPr>
            <w:r w:rsidRPr="0037244E">
              <w:rPr>
                <w:rFonts w:cs="Arial"/>
                <w:color w:val="000000"/>
                <w:sz w:val="20"/>
              </w:rPr>
              <w:t>AA</w:t>
            </w:r>
          </w:p>
        </w:tc>
      </w:tr>
    </w:tbl>
    <w:p w:rsidR="006C25A0" w:rsidRPr="00DE7585" w:rsidRDefault="006C25A0" w:rsidP="00D369EF">
      <w:pPr>
        <w:rPr>
          <w:highlight w:val="yellow"/>
        </w:rPr>
      </w:pPr>
    </w:p>
    <w:p w:rsidR="006C25A0" w:rsidRPr="0037244E" w:rsidRDefault="006C25A0" w:rsidP="00D369EF"/>
    <w:p w:rsidR="00B0217B" w:rsidRPr="0037244E" w:rsidRDefault="0060692A" w:rsidP="00424AA5">
      <w:pPr>
        <w:pStyle w:val="ListParagraph"/>
        <w:numPr>
          <w:ilvl w:val="0"/>
          <w:numId w:val="11"/>
        </w:numPr>
        <w:ind w:left="0" w:firstLine="0"/>
        <w:rPr>
          <w:rFonts w:cs="Arial"/>
          <w:b/>
          <w:color w:val="000000"/>
          <w:sz w:val="20"/>
        </w:rPr>
      </w:pPr>
      <w:r w:rsidRPr="0037244E">
        <w:rPr>
          <w:rFonts w:cs="Arial"/>
          <w:b/>
          <w:color w:val="000000"/>
          <w:sz w:val="20"/>
        </w:rPr>
        <w:t>Daily Liquidity</w:t>
      </w:r>
    </w:p>
    <w:p w:rsidR="00B0217B" w:rsidRPr="0037244E" w:rsidRDefault="0060692A" w:rsidP="0060692A">
      <w:pPr>
        <w:ind w:left="5040"/>
        <w:rPr>
          <w:rFonts w:cs="Arial"/>
          <w:b/>
          <w:color w:val="000000"/>
          <w:sz w:val="20"/>
        </w:rPr>
      </w:pPr>
      <w:r w:rsidRPr="0037244E">
        <w:rPr>
          <w:rFonts w:cs="Arial"/>
          <w:b/>
          <w:color w:val="000000"/>
          <w:sz w:val="20"/>
        </w:rPr>
        <w:t xml:space="preserve">          Minimum</w:t>
      </w:r>
    </w:p>
    <w:tbl>
      <w:tblPr>
        <w:tblW w:w="0" w:type="auto"/>
        <w:jc w:val="center"/>
        <w:tblLook w:val="04A0" w:firstRow="1" w:lastRow="0" w:firstColumn="1" w:lastColumn="0" w:noHBand="0" w:noVBand="1"/>
      </w:tblPr>
      <w:tblGrid>
        <w:gridCol w:w="4476"/>
        <w:gridCol w:w="1439"/>
        <w:gridCol w:w="1276"/>
      </w:tblGrid>
      <w:tr w:rsidR="00B0217B" w:rsidRPr="0037244E" w:rsidTr="0060692A">
        <w:trPr>
          <w:jc w:val="center"/>
        </w:trPr>
        <w:tc>
          <w:tcPr>
            <w:tcW w:w="4476" w:type="dxa"/>
          </w:tcPr>
          <w:p w:rsidR="00B0217B" w:rsidRPr="0037244E" w:rsidRDefault="00B0217B" w:rsidP="00B0217B">
            <w:pPr>
              <w:rPr>
                <w:rFonts w:cs="Arial"/>
                <w:color w:val="000000"/>
                <w:sz w:val="20"/>
              </w:rPr>
            </w:pPr>
          </w:p>
        </w:tc>
        <w:tc>
          <w:tcPr>
            <w:tcW w:w="1439" w:type="dxa"/>
            <w:vAlign w:val="center"/>
          </w:tcPr>
          <w:p w:rsidR="00B0217B" w:rsidRPr="0037244E" w:rsidRDefault="00B0217B" w:rsidP="00F37C68">
            <w:pPr>
              <w:jc w:val="center"/>
              <w:rPr>
                <w:rFonts w:cs="Arial"/>
                <w:b/>
                <w:color w:val="000000"/>
                <w:sz w:val="20"/>
              </w:rPr>
            </w:pPr>
            <w:r w:rsidRPr="0037244E">
              <w:rPr>
                <w:rFonts w:cs="Arial"/>
                <w:b/>
                <w:color w:val="000000"/>
                <w:sz w:val="20"/>
              </w:rPr>
              <w:t>Requirement</w:t>
            </w:r>
          </w:p>
        </w:tc>
        <w:tc>
          <w:tcPr>
            <w:tcW w:w="1276" w:type="dxa"/>
            <w:vAlign w:val="center"/>
          </w:tcPr>
          <w:p w:rsidR="00B0217B" w:rsidRPr="0037244E" w:rsidRDefault="00B0217B" w:rsidP="00F37C68">
            <w:pPr>
              <w:jc w:val="center"/>
              <w:rPr>
                <w:rFonts w:cs="Arial"/>
                <w:b/>
                <w:color w:val="000000"/>
                <w:sz w:val="20"/>
              </w:rPr>
            </w:pPr>
            <w:r w:rsidRPr="0037244E">
              <w:rPr>
                <w:rFonts w:cs="Arial"/>
                <w:b/>
                <w:color w:val="000000"/>
                <w:sz w:val="20"/>
              </w:rPr>
              <w:t>Actual</w:t>
            </w:r>
          </w:p>
        </w:tc>
      </w:tr>
      <w:tr w:rsidR="00B0217B" w:rsidRPr="0037244E" w:rsidTr="0060692A">
        <w:trPr>
          <w:jc w:val="center"/>
        </w:trPr>
        <w:tc>
          <w:tcPr>
            <w:tcW w:w="4476" w:type="dxa"/>
          </w:tcPr>
          <w:p w:rsidR="00B0217B" w:rsidRPr="0037244E" w:rsidRDefault="00B0217B" w:rsidP="00B0217B">
            <w:pPr>
              <w:rPr>
                <w:rFonts w:cs="Arial"/>
                <w:color w:val="000000"/>
                <w:sz w:val="20"/>
              </w:rPr>
            </w:pPr>
          </w:p>
        </w:tc>
        <w:tc>
          <w:tcPr>
            <w:tcW w:w="1439" w:type="dxa"/>
            <w:vAlign w:val="center"/>
          </w:tcPr>
          <w:p w:rsidR="00B0217B" w:rsidRPr="0037244E" w:rsidRDefault="00B0217B" w:rsidP="00F37C68">
            <w:pPr>
              <w:jc w:val="center"/>
              <w:rPr>
                <w:rFonts w:cs="Arial"/>
                <w:b/>
                <w:color w:val="000000"/>
                <w:sz w:val="20"/>
              </w:rPr>
            </w:pPr>
            <w:r w:rsidRPr="0037244E">
              <w:rPr>
                <w:rFonts w:cs="Arial"/>
                <w:b/>
                <w:color w:val="000000"/>
                <w:sz w:val="20"/>
              </w:rPr>
              <w:t>£m</w:t>
            </w:r>
          </w:p>
        </w:tc>
        <w:tc>
          <w:tcPr>
            <w:tcW w:w="1276" w:type="dxa"/>
            <w:vAlign w:val="center"/>
          </w:tcPr>
          <w:p w:rsidR="00B0217B" w:rsidRPr="0037244E" w:rsidRDefault="00B0217B" w:rsidP="00F37C68">
            <w:pPr>
              <w:jc w:val="center"/>
              <w:rPr>
                <w:rFonts w:cs="Arial"/>
                <w:b/>
                <w:color w:val="000000"/>
                <w:sz w:val="20"/>
              </w:rPr>
            </w:pPr>
            <w:r w:rsidRPr="0037244E">
              <w:rPr>
                <w:rFonts w:cs="Arial"/>
                <w:b/>
                <w:color w:val="000000"/>
                <w:sz w:val="20"/>
              </w:rPr>
              <w:t>£m</w:t>
            </w:r>
          </w:p>
        </w:tc>
      </w:tr>
      <w:tr w:rsidR="00B0217B" w:rsidRPr="0037244E" w:rsidTr="0060692A">
        <w:trPr>
          <w:jc w:val="center"/>
        </w:trPr>
        <w:tc>
          <w:tcPr>
            <w:tcW w:w="4476" w:type="dxa"/>
          </w:tcPr>
          <w:p w:rsidR="00B0217B" w:rsidRPr="0037244E" w:rsidRDefault="0060692A" w:rsidP="00B0217B">
            <w:pPr>
              <w:rPr>
                <w:rFonts w:cs="Arial"/>
                <w:color w:val="000000"/>
                <w:sz w:val="20"/>
              </w:rPr>
            </w:pPr>
            <w:r w:rsidRPr="0037244E">
              <w:rPr>
                <w:rFonts w:cs="Arial"/>
                <w:color w:val="000000"/>
                <w:sz w:val="20"/>
              </w:rPr>
              <w:t>Cash maintained on call</w:t>
            </w:r>
          </w:p>
        </w:tc>
        <w:tc>
          <w:tcPr>
            <w:tcW w:w="1439" w:type="dxa"/>
          </w:tcPr>
          <w:p w:rsidR="00B0217B" w:rsidRPr="0037244E" w:rsidRDefault="0060692A" w:rsidP="00F37C68">
            <w:pPr>
              <w:jc w:val="center"/>
              <w:rPr>
                <w:rFonts w:cs="Arial"/>
                <w:color w:val="000000"/>
                <w:sz w:val="20"/>
              </w:rPr>
            </w:pPr>
            <w:r w:rsidRPr="0037244E">
              <w:rPr>
                <w:rFonts w:cs="Arial"/>
                <w:color w:val="000000"/>
                <w:sz w:val="20"/>
              </w:rPr>
              <w:t>20</w:t>
            </w:r>
          </w:p>
        </w:tc>
        <w:tc>
          <w:tcPr>
            <w:tcW w:w="1276" w:type="dxa"/>
          </w:tcPr>
          <w:p w:rsidR="00B0217B" w:rsidRPr="0037244E" w:rsidRDefault="0037244E" w:rsidP="00F37C68">
            <w:pPr>
              <w:jc w:val="center"/>
              <w:rPr>
                <w:rFonts w:cs="Arial"/>
                <w:sz w:val="20"/>
              </w:rPr>
            </w:pPr>
            <w:r w:rsidRPr="0037244E">
              <w:rPr>
                <w:rFonts w:cs="Arial"/>
                <w:color w:val="000000"/>
                <w:sz w:val="20"/>
              </w:rPr>
              <w:t>92</w:t>
            </w:r>
            <w:r w:rsidR="00C919D8" w:rsidRPr="0037244E">
              <w:rPr>
                <w:rFonts w:cs="Arial"/>
                <w:color w:val="000000"/>
                <w:sz w:val="20"/>
              </w:rPr>
              <w:t xml:space="preserve"> </w:t>
            </w:r>
          </w:p>
        </w:tc>
      </w:tr>
      <w:tr w:rsidR="00455EBD" w:rsidRPr="00DE7585" w:rsidTr="0060692A">
        <w:trPr>
          <w:jc w:val="center"/>
        </w:trPr>
        <w:tc>
          <w:tcPr>
            <w:tcW w:w="4476" w:type="dxa"/>
          </w:tcPr>
          <w:p w:rsidR="00455EBD" w:rsidRPr="00DE7585" w:rsidRDefault="00455EBD" w:rsidP="00B0217B">
            <w:pPr>
              <w:rPr>
                <w:rFonts w:cs="Arial"/>
                <w:color w:val="000000"/>
                <w:sz w:val="20"/>
                <w:highlight w:val="yellow"/>
              </w:rPr>
            </w:pPr>
          </w:p>
        </w:tc>
        <w:tc>
          <w:tcPr>
            <w:tcW w:w="1439" w:type="dxa"/>
          </w:tcPr>
          <w:p w:rsidR="00455EBD" w:rsidRPr="00DE7585" w:rsidRDefault="00455EBD" w:rsidP="00F37C68">
            <w:pPr>
              <w:jc w:val="center"/>
              <w:rPr>
                <w:rFonts w:cs="Arial"/>
                <w:color w:val="000000"/>
                <w:sz w:val="20"/>
                <w:highlight w:val="yellow"/>
              </w:rPr>
            </w:pPr>
          </w:p>
        </w:tc>
        <w:tc>
          <w:tcPr>
            <w:tcW w:w="1276" w:type="dxa"/>
          </w:tcPr>
          <w:p w:rsidR="00455EBD" w:rsidRPr="00DE7585" w:rsidRDefault="00455EBD" w:rsidP="00F37C68">
            <w:pPr>
              <w:jc w:val="center"/>
              <w:rPr>
                <w:rFonts w:cs="Arial"/>
                <w:color w:val="000000"/>
                <w:sz w:val="20"/>
                <w:highlight w:val="yellow"/>
              </w:rPr>
            </w:pPr>
          </w:p>
        </w:tc>
      </w:tr>
    </w:tbl>
    <w:p w:rsidR="00A752C2" w:rsidRPr="00DE7585" w:rsidRDefault="00A752C2" w:rsidP="00B0217B">
      <w:pPr>
        <w:rPr>
          <w:rFonts w:cs="Arial"/>
          <w:color w:val="000000"/>
          <w:szCs w:val="24"/>
          <w:highlight w:val="yellow"/>
        </w:rPr>
      </w:pPr>
    </w:p>
    <w:p w:rsidR="00F01ACE" w:rsidRPr="006226DB" w:rsidRDefault="00A752C2" w:rsidP="00B0217B">
      <w:pPr>
        <w:rPr>
          <w:bCs/>
        </w:rPr>
      </w:pPr>
      <w:r w:rsidRPr="006226DB">
        <w:rPr>
          <w:bCs/>
        </w:rPr>
        <w:t>Th</w:t>
      </w:r>
      <w:r w:rsidR="001A4FE4" w:rsidRPr="006226DB">
        <w:rPr>
          <w:bCs/>
        </w:rPr>
        <w:t xml:space="preserve">is report on the latest Treasury management activity shows that the Treasury Management Strategy set in February is still appropriate for the current market conditions and that the level of borrowing and investments are in line with this strategy </w:t>
      </w:r>
      <w:r w:rsidR="00292E72" w:rsidRPr="006226DB">
        <w:rPr>
          <w:bCs/>
        </w:rPr>
        <w:t>and within the indicator limits</w:t>
      </w:r>
    </w:p>
    <w:p w:rsidR="00F01ACE" w:rsidRPr="006226DB" w:rsidRDefault="00F01ACE" w:rsidP="00B0217B">
      <w:pPr>
        <w:rPr>
          <w:bCs/>
        </w:rPr>
      </w:pPr>
    </w:p>
    <w:p w:rsidR="00F01ACE" w:rsidRPr="006226DB" w:rsidRDefault="00F01ACE" w:rsidP="00B0217B">
      <w:pPr>
        <w:rPr>
          <w:bCs/>
        </w:rPr>
      </w:pPr>
    </w:p>
    <w:p w:rsidR="00F01ACE" w:rsidRPr="006226DB" w:rsidRDefault="00F01ACE" w:rsidP="00292E72">
      <w:pPr>
        <w:rPr>
          <w:sz w:val="22"/>
          <w:szCs w:val="22"/>
        </w:rPr>
      </w:pPr>
      <w:r w:rsidRPr="006226DB">
        <w:rPr>
          <w:rFonts w:cs="Arial"/>
          <w:szCs w:val="24"/>
        </w:rPr>
        <w:t xml:space="preserve">The Council confirms that it has complied with its </w:t>
      </w:r>
      <w:r w:rsidRPr="007547C1">
        <w:rPr>
          <w:rFonts w:cs="Arial"/>
          <w:szCs w:val="24"/>
        </w:rPr>
        <w:t>Prudential Indicators</w:t>
      </w:r>
      <w:r w:rsidRPr="006226DB">
        <w:rPr>
          <w:rFonts w:cs="Arial"/>
          <w:szCs w:val="24"/>
        </w:rPr>
        <w:t xml:space="preserve"> for 201</w:t>
      </w:r>
      <w:r w:rsidR="00D34902" w:rsidRPr="006226DB">
        <w:rPr>
          <w:rFonts w:cs="Arial"/>
          <w:szCs w:val="24"/>
        </w:rPr>
        <w:t>4</w:t>
      </w:r>
      <w:r w:rsidRPr="006226DB">
        <w:rPr>
          <w:rFonts w:cs="Arial"/>
          <w:szCs w:val="24"/>
        </w:rPr>
        <w:t>/1</w:t>
      </w:r>
      <w:r w:rsidR="00D34902" w:rsidRPr="006226DB">
        <w:rPr>
          <w:rFonts w:cs="Arial"/>
          <w:szCs w:val="24"/>
        </w:rPr>
        <w:t>5</w:t>
      </w:r>
      <w:r w:rsidRPr="006226DB">
        <w:rPr>
          <w:rFonts w:cs="Arial"/>
          <w:szCs w:val="24"/>
        </w:rPr>
        <w:t>, which wer</w:t>
      </w:r>
      <w:r w:rsidR="00B73AFF" w:rsidRPr="006226DB">
        <w:rPr>
          <w:rFonts w:cs="Arial"/>
          <w:szCs w:val="24"/>
        </w:rPr>
        <w:t>e approved on 2</w:t>
      </w:r>
      <w:r w:rsidR="00FC3F2C">
        <w:rPr>
          <w:rFonts w:cs="Arial"/>
          <w:szCs w:val="24"/>
        </w:rPr>
        <w:t>0</w:t>
      </w:r>
      <w:r w:rsidR="00B73AFF" w:rsidRPr="006226DB">
        <w:rPr>
          <w:rFonts w:cs="Arial"/>
          <w:szCs w:val="24"/>
        </w:rPr>
        <w:t>th February 2014</w:t>
      </w:r>
      <w:r w:rsidRPr="006226DB">
        <w:rPr>
          <w:rFonts w:cs="Arial"/>
          <w:szCs w:val="24"/>
        </w:rPr>
        <w:t xml:space="preserve"> as part of the Council’s Treasury Management Strategy Statement.</w:t>
      </w:r>
    </w:p>
    <w:p w:rsidR="00F01ACE" w:rsidRPr="00DE7585" w:rsidRDefault="00F01ACE" w:rsidP="00F01ACE">
      <w:pPr>
        <w:rPr>
          <w:rFonts w:cs="Arial"/>
          <w:szCs w:val="24"/>
          <w:highlight w:val="yellow"/>
        </w:rPr>
      </w:pPr>
    </w:p>
    <w:p w:rsidR="00F01ACE" w:rsidRPr="00DE7585" w:rsidRDefault="00F01ACE" w:rsidP="00F01ACE">
      <w:pPr>
        <w:rPr>
          <w:rFonts w:cs="Arial"/>
          <w:szCs w:val="24"/>
          <w:highlight w:val="yellow"/>
        </w:rPr>
      </w:pPr>
    </w:p>
    <w:p w:rsidR="00007D5C" w:rsidRDefault="00007D5C" w:rsidP="00007D5C">
      <w:pPr>
        <w:rPr>
          <w:b/>
        </w:rPr>
      </w:pPr>
    </w:p>
    <w:p w:rsidR="00007D5C" w:rsidRDefault="00007D5C" w:rsidP="00007D5C">
      <w:pPr>
        <w:rPr>
          <w:b/>
        </w:rPr>
      </w:pPr>
    </w:p>
    <w:p w:rsidR="00007D5C" w:rsidRDefault="00007D5C" w:rsidP="00007D5C">
      <w:pPr>
        <w:rPr>
          <w:b/>
        </w:rPr>
      </w:pPr>
    </w:p>
    <w:p w:rsidR="00007D5C" w:rsidRDefault="00007D5C" w:rsidP="00007D5C">
      <w:pPr>
        <w:rPr>
          <w:b/>
        </w:rPr>
      </w:pPr>
    </w:p>
    <w:p w:rsidR="00441217" w:rsidRPr="00DE7585" w:rsidRDefault="00007D5C" w:rsidP="000047C4">
      <w:pPr>
        <w:rPr>
          <w:szCs w:val="24"/>
          <w:highlight w:val="yellow"/>
        </w:rPr>
      </w:pPr>
      <w:r w:rsidRPr="00007D5C">
        <w:rPr>
          <w:b/>
        </w:rPr>
        <w:t xml:space="preserve"> </w:t>
      </w:r>
    </w:p>
    <w:p w:rsidR="00441217" w:rsidRPr="00DE7585" w:rsidRDefault="00441217" w:rsidP="00441217">
      <w:pPr>
        <w:contextualSpacing/>
        <w:rPr>
          <w:b/>
          <w:highlight w:val="yellow"/>
          <w:u w:val="single"/>
        </w:rPr>
      </w:pPr>
    </w:p>
    <w:p w:rsidR="00F01ACE" w:rsidRPr="00DE7585" w:rsidRDefault="00F01ACE" w:rsidP="00F01ACE">
      <w:pPr>
        <w:rPr>
          <w:b/>
          <w:highlight w:val="yellow"/>
          <w:u w:val="single"/>
        </w:rPr>
      </w:pPr>
    </w:p>
    <w:p w:rsidR="00F01ACE" w:rsidRPr="006226DB" w:rsidRDefault="00F01ACE" w:rsidP="00B0217B">
      <w:pPr>
        <w:rPr>
          <w:b/>
          <w:sz w:val="96"/>
          <w:szCs w:val="96"/>
          <w:u w:val="single"/>
        </w:rPr>
      </w:pPr>
    </w:p>
    <w:sectPr w:rsidR="00F01ACE" w:rsidRPr="006226DB" w:rsidSect="000F2DA6">
      <w:headerReference w:type="default" r:id="rId11"/>
      <w:footerReference w:type="default" r:id="rId12"/>
      <w:footerReference w:type="first" r:id="rId13"/>
      <w:type w:val="continuous"/>
      <w:pgSz w:w="11907" w:h="16840" w:code="9"/>
      <w:pgMar w:top="1134" w:right="1440" w:bottom="1440" w:left="1440" w:header="706" w:footer="7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A4" w:rsidRDefault="002464A4">
      <w:r>
        <w:separator/>
      </w:r>
    </w:p>
  </w:endnote>
  <w:endnote w:type="continuationSeparator" w:id="0">
    <w:p w:rsidR="002464A4" w:rsidRDefault="0024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TT17AD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6A" w:rsidRDefault="00BB156A">
    <w:pPr>
      <w:pStyle w:val="Footer"/>
      <w:tabs>
        <w:tab w:val="clear" w:pos="4153"/>
      </w:tabs>
      <w:ind w:right="-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6A" w:rsidRDefault="00BB156A">
    <w:pPr>
      <w:pStyle w:val="Footer"/>
      <w:tabs>
        <w:tab w:val="clear" w:pos="4153"/>
      </w:tabs>
      <w:ind w:right="-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A4" w:rsidRDefault="002464A4">
      <w:r>
        <w:separator/>
      </w:r>
    </w:p>
  </w:footnote>
  <w:footnote w:type="continuationSeparator" w:id="0">
    <w:p w:rsidR="002464A4" w:rsidRDefault="0024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6A" w:rsidRDefault="00BB156A">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4F7A"/>
    <w:multiLevelType w:val="hybridMultilevel"/>
    <w:tmpl w:val="81E2610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092B7496"/>
    <w:multiLevelType w:val="hybridMultilevel"/>
    <w:tmpl w:val="3C1C4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E0D07"/>
    <w:multiLevelType w:val="hybridMultilevel"/>
    <w:tmpl w:val="D4926224"/>
    <w:lvl w:ilvl="0" w:tplc="A202B5B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A06069D"/>
    <w:multiLevelType w:val="hybridMultilevel"/>
    <w:tmpl w:val="8D4E887E"/>
    <w:lvl w:ilvl="0" w:tplc="BB94A72A">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D894F0C"/>
    <w:multiLevelType w:val="hybridMultilevel"/>
    <w:tmpl w:val="44641344"/>
    <w:lvl w:ilvl="0" w:tplc="5DC247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43253A"/>
    <w:multiLevelType w:val="hybridMultilevel"/>
    <w:tmpl w:val="9EEA20BC"/>
    <w:lvl w:ilvl="0" w:tplc="BD726FF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BE230D"/>
    <w:multiLevelType w:val="hybridMultilevel"/>
    <w:tmpl w:val="571680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BA2327D"/>
    <w:multiLevelType w:val="hybridMultilevel"/>
    <w:tmpl w:val="3976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8B7F0F"/>
    <w:multiLevelType w:val="hybridMultilevel"/>
    <w:tmpl w:val="B9DE110A"/>
    <w:lvl w:ilvl="0" w:tplc="0809000F">
      <w:start w:val="1"/>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9">
    <w:nsid w:val="35ED09FE"/>
    <w:multiLevelType w:val="hybridMultilevel"/>
    <w:tmpl w:val="DF4E7482"/>
    <w:lvl w:ilvl="0" w:tplc="C8FCF5B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CD52B0"/>
    <w:multiLevelType w:val="hybridMultilevel"/>
    <w:tmpl w:val="CC905C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99F42DA"/>
    <w:multiLevelType w:val="hybridMultilevel"/>
    <w:tmpl w:val="8130B4A8"/>
    <w:lvl w:ilvl="0" w:tplc="D93695A6">
      <w:start w:val="6"/>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DF4CAA"/>
    <w:multiLevelType w:val="hybridMultilevel"/>
    <w:tmpl w:val="D5AA52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3">
    <w:nsid w:val="46F434E1"/>
    <w:multiLevelType w:val="multilevel"/>
    <w:tmpl w:val="20E69F94"/>
    <w:lvl w:ilvl="0">
      <w:start w:val="1"/>
      <w:numFmt w:val="decimal"/>
      <w:lvlText w:val="%1."/>
      <w:lvlJc w:val="left"/>
      <w:pPr>
        <w:ind w:left="360" w:hanging="360"/>
      </w:pPr>
      <w:rPr>
        <w:rFonts w:cs="Times New Roman"/>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4F4E2415"/>
    <w:multiLevelType w:val="hybridMultilevel"/>
    <w:tmpl w:val="8CB0DAFC"/>
    <w:lvl w:ilvl="0" w:tplc="82B0FD8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3175FE3"/>
    <w:multiLevelType w:val="hybridMultilevel"/>
    <w:tmpl w:val="C31ECC9C"/>
    <w:lvl w:ilvl="0" w:tplc="3B64DF6E">
      <w:start w:val="1"/>
      <w:numFmt w:val="decimal"/>
      <w:lvlText w:val="%1."/>
      <w:lvlJc w:val="left"/>
      <w:pPr>
        <w:ind w:left="786" w:hanging="360"/>
      </w:pPr>
      <w:rPr>
        <w:rFonts w:cs="Times New Roman" w:hint="default"/>
        <w:b w:val="0"/>
        <w:sz w:val="20"/>
        <w:szCs w:val="2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6">
    <w:nsid w:val="55CC2815"/>
    <w:multiLevelType w:val="hybridMultilevel"/>
    <w:tmpl w:val="299839BA"/>
    <w:lvl w:ilvl="0" w:tplc="176E542A">
      <w:start w:val="12"/>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2E962C0"/>
    <w:multiLevelType w:val="hybridMultilevel"/>
    <w:tmpl w:val="0524B4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9187EAD"/>
    <w:multiLevelType w:val="hybridMultilevel"/>
    <w:tmpl w:val="2CB2FC1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9D54FB6"/>
    <w:multiLevelType w:val="hybridMultilevel"/>
    <w:tmpl w:val="3E549AE0"/>
    <w:lvl w:ilvl="0" w:tplc="5C9AE326">
      <w:start w:val="2"/>
      <w:numFmt w:val="bullet"/>
      <w:lvlText w:val="-"/>
      <w:lvlJc w:val="left"/>
      <w:pPr>
        <w:ind w:left="810" w:hanging="360"/>
      </w:pPr>
      <w:rPr>
        <w:rFonts w:ascii="Arial" w:eastAsia="Times New Roman" w:hAnsi="Aria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nsid w:val="6A4B1F2B"/>
    <w:multiLevelType w:val="hybridMultilevel"/>
    <w:tmpl w:val="42B4836C"/>
    <w:lvl w:ilvl="0" w:tplc="0809000F">
      <w:start w:val="1"/>
      <w:numFmt w:val="decimal"/>
      <w:lvlText w:val="%1."/>
      <w:lvlJc w:val="left"/>
      <w:pPr>
        <w:ind w:left="7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BEE6257"/>
    <w:multiLevelType w:val="hybridMultilevel"/>
    <w:tmpl w:val="FF84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094F88"/>
    <w:multiLevelType w:val="hybridMultilevel"/>
    <w:tmpl w:val="E7FC6238"/>
    <w:lvl w:ilvl="0" w:tplc="65B8AE64">
      <w:start w:val="1"/>
      <w:numFmt w:val="decimal"/>
      <w:lvlText w:val="%1."/>
      <w:lvlJc w:val="left"/>
      <w:pPr>
        <w:ind w:left="360"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num w:numId="1">
    <w:abstractNumId w:val="0"/>
  </w:num>
  <w:num w:numId="2">
    <w:abstractNumId w:val="8"/>
  </w:num>
  <w:num w:numId="3">
    <w:abstractNumId w:val="22"/>
  </w:num>
  <w:num w:numId="4">
    <w:abstractNumId w:val="18"/>
  </w:num>
  <w:num w:numId="5">
    <w:abstractNumId w:val="20"/>
  </w:num>
  <w:num w:numId="6">
    <w:abstractNumId w:val="10"/>
  </w:num>
  <w:num w:numId="7">
    <w:abstractNumId w:val="7"/>
  </w:num>
  <w:num w:numId="8">
    <w:abstractNumId w:val="6"/>
  </w:num>
  <w:num w:numId="9">
    <w:abstractNumId w:val="19"/>
  </w:num>
  <w:num w:numId="10">
    <w:abstractNumId w:val="17"/>
  </w:num>
  <w:num w:numId="11">
    <w:abstractNumId w:val="2"/>
  </w:num>
  <w:num w:numId="12">
    <w:abstractNumId w:val="3"/>
  </w:num>
  <w:num w:numId="13">
    <w:abstractNumId w:val="13"/>
  </w:num>
  <w:num w:numId="14">
    <w:abstractNumId w:val="12"/>
  </w:num>
  <w:num w:numId="15">
    <w:abstractNumId w:val="15"/>
  </w:num>
  <w:num w:numId="16">
    <w:abstractNumId w:val="16"/>
  </w:num>
  <w:num w:numId="17">
    <w:abstractNumId w:val="1"/>
  </w:num>
  <w:num w:numId="18">
    <w:abstractNumId w:val="21"/>
  </w:num>
  <w:num w:numId="19">
    <w:abstractNumId w:val="11"/>
  </w:num>
  <w:num w:numId="20">
    <w:abstractNumId w:val="4"/>
  </w:num>
  <w:num w:numId="21">
    <w:abstractNumId w:val="14"/>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A4"/>
    <w:rsid w:val="00000475"/>
    <w:rsid w:val="000017CE"/>
    <w:rsid w:val="0000197F"/>
    <w:rsid w:val="00002D68"/>
    <w:rsid w:val="00003945"/>
    <w:rsid w:val="000047C4"/>
    <w:rsid w:val="00004B87"/>
    <w:rsid w:val="0000654A"/>
    <w:rsid w:val="0000791F"/>
    <w:rsid w:val="00007D5C"/>
    <w:rsid w:val="00010EF9"/>
    <w:rsid w:val="0001221F"/>
    <w:rsid w:val="00013020"/>
    <w:rsid w:val="00015A99"/>
    <w:rsid w:val="00015E7B"/>
    <w:rsid w:val="00020009"/>
    <w:rsid w:val="000204E0"/>
    <w:rsid w:val="000212C4"/>
    <w:rsid w:val="000220AB"/>
    <w:rsid w:val="00024233"/>
    <w:rsid w:val="00024DE2"/>
    <w:rsid w:val="000255E3"/>
    <w:rsid w:val="000264C7"/>
    <w:rsid w:val="000329E6"/>
    <w:rsid w:val="00041916"/>
    <w:rsid w:val="00042020"/>
    <w:rsid w:val="00044DA7"/>
    <w:rsid w:val="00047AA0"/>
    <w:rsid w:val="00051819"/>
    <w:rsid w:val="00052EE8"/>
    <w:rsid w:val="000545A3"/>
    <w:rsid w:val="0005580E"/>
    <w:rsid w:val="00056360"/>
    <w:rsid w:val="00060506"/>
    <w:rsid w:val="00061277"/>
    <w:rsid w:val="0006417A"/>
    <w:rsid w:val="00067556"/>
    <w:rsid w:val="00074C9F"/>
    <w:rsid w:val="000750C7"/>
    <w:rsid w:val="00075638"/>
    <w:rsid w:val="00081C29"/>
    <w:rsid w:val="0008209F"/>
    <w:rsid w:val="00083593"/>
    <w:rsid w:val="000839BB"/>
    <w:rsid w:val="0008512F"/>
    <w:rsid w:val="0008534C"/>
    <w:rsid w:val="00090642"/>
    <w:rsid w:val="000929F4"/>
    <w:rsid w:val="00093DBA"/>
    <w:rsid w:val="000949B6"/>
    <w:rsid w:val="00095AE7"/>
    <w:rsid w:val="000A1102"/>
    <w:rsid w:val="000A269F"/>
    <w:rsid w:val="000A3AA9"/>
    <w:rsid w:val="000A55C4"/>
    <w:rsid w:val="000B18AC"/>
    <w:rsid w:val="000B1F2A"/>
    <w:rsid w:val="000B48BE"/>
    <w:rsid w:val="000B5F46"/>
    <w:rsid w:val="000B793B"/>
    <w:rsid w:val="000B7F9E"/>
    <w:rsid w:val="000C1828"/>
    <w:rsid w:val="000C182B"/>
    <w:rsid w:val="000C21C1"/>
    <w:rsid w:val="000C3A5D"/>
    <w:rsid w:val="000C41B6"/>
    <w:rsid w:val="000D07D3"/>
    <w:rsid w:val="000D0EDD"/>
    <w:rsid w:val="000D1258"/>
    <w:rsid w:val="000D2521"/>
    <w:rsid w:val="000D27EB"/>
    <w:rsid w:val="000D3A32"/>
    <w:rsid w:val="000D4118"/>
    <w:rsid w:val="000E7B89"/>
    <w:rsid w:val="000F0A43"/>
    <w:rsid w:val="000F1083"/>
    <w:rsid w:val="000F2DA6"/>
    <w:rsid w:val="000F3E11"/>
    <w:rsid w:val="000F4096"/>
    <w:rsid w:val="000F4561"/>
    <w:rsid w:val="000F4DF5"/>
    <w:rsid w:val="000F7A78"/>
    <w:rsid w:val="00101873"/>
    <w:rsid w:val="00102B9F"/>
    <w:rsid w:val="0010362C"/>
    <w:rsid w:val="00103E1B"/>
    <w:rsid w:val="00105F47"/>
    <w:rsid w:val="0010740B"/>
    <w:rsid w:val="00111225"/>
    <w:rsid w:val="00111951"/>
    <w:rsid w:val="001128CC"/>
    <w:rsid w:val="001130C7"/>
    <w:rsid w:val="0011311F"/>
    <w:rsid w:val="001236AE"/>
    <w:rsid w:val="001255B3"/>
    <w:rsid w:val="0012634C"/>
    <w:rsid w:val="001264D6"/>
    <w:rsid w:val="00126861"/>
    <w:rsid w:val="001313CC"/>
    <w:rsid w:val="00140759"/>
    <w:rsid w:val="00146ED7"/>
    <w:rsid w:val="00152137"/>
    <w:rsid w:val="00152D50"/>
    <w:rsid w:val="00153378"/>
    <w:rsid w:val="0015521A"/>
    <w:rsid w:val="00156696"/>
    <w:rsid w:val="001568A9"/>
    <w:rsid w:val="00157254"/>
    <w:rsid w:val="00160105"/>
    <w:rsid w:val="00160B29"/>
    <w:rsid w:val="0016265F"/>
    <w:rsid w:val="001631A1"/>
    <w:rsid w:val="0016471E"/>
    <w:rsid w:val="00164EA3"/>
    <w:rsid w:val="00165A71"/>
    <w:rsid w:val="00167BD8"/>
    <w:rsid w:val="00172457"/>
    <w:rsid w:val="001726FA"/>
    <w:rsid w:val="001740E7"/>
    <w:rsid w:val="00174326"/>
    <w:rsid w:val="00175102"/>
    <w:rsid w:val="00176D0D"/>
    <w:rsid w:val="00180500"/>
    <w:rsid w:val="00183307"/>
    <w:rsid w:val="00184626"/>
    <w:rsid w:val="00184A2C"/>
    <w:rsid w:val="001853BD"/>
    <w:rsid w:val="001917E0"/>
    <w:rsid w:val="001929DC"/>
    <w:rsid w:val="00193D98"/>
    <w:rsid w:val="00193DB7"/>
    <w:rsid w:val="001970A4"/>
    <w:rsid w:val="0019765E"/>
    <w:rsid w:val="00197A09"/>
    <w:rsid w:val="001A0A84"/>
    <w:rsid w:val="001A33BE"/>
    <w:rsid w:val="001A4FE4"/>
    <w:rsid w:val="001A5FA6"/>
    <w:rsid w:val="001A699B"/>
    <w:rsid w:val="001A732A"/>
    <w:rsid w:val="001B3E59"/>
    <w:rsid w:val="001B484E"/>
    <w:rsid w:val="001B486A"/>
    <w:rsid w:val="001B581D"/>
    <w:rsid w:val="001B673A"/>
    <w:rsid w:val="001B726B"/>
    <w:rsid w:val="001C0D7B"/>
    <w:rsid w:val="001C65EA"/>
    <w:rsid w:val="001C70E9"/>
    <w:rsid w:val="001C7306"/>
    <w:rsid w:val="001D1580"/>
    <w:rsid w:val="001D1840"/>
    <w:rsid w:val="001D2D57"/>
    <w:rsid w:val="001D462F"/>
    <w:rsid w:val="001D6466"/>
    <w:rsid w:val="001E1648"/>
    <w:rsid w:val="001E40BA"/>
    <w:rsid w:val="001F1707"/>
    <w:rsid w:val="001F2A47"/>
    <w:rsid w:val="001F337D"/>
    <w:rsid w:val="001F363D"/>
    <w:rsid w:val="001F487D"/>
    <w:rsid w:val="001F6E45"/>
    <w:rsid w:val="0020702D"/>
    <w:rsid w:val="002107C1"/>
    <w:rsid w:val="0021141B"/>
    <w:rsid w:val="00211A94"/>
    <w:rsid w:val="002139E0"/>
    <w:rsid w:val="00214C59"/>
    <w:rsid w:val="002156AC"/>
    <w:rsid w:val="0022245F"/>
    <w:rsid w:val="00226DA8"/>
    <w:rsid w:val="00236C21"/>
    <w:rsid w:val="002406FB"/>
    <w:rsid w:val="00240B93"/>
    <w:rsid w:val="002413DF"/>
    <w:rsid w:val="002440C5"/>
    <w:rsid w:val="002464A4"/>
    <w:rsid w:val="0024650C"/>
    <w:rsid w:val="00246568"/>
    <w:rsid w:val="00252454"/>
    <w:rsid w:val="002531DF"/>
    <w:rsid w:val="00255969"/>
    <w:rsid w:val="00256971"/>
    <w:rsid w:val="00257EF6"/>
    <w:rsid w:val="00261B25"/>
    <w:rsid w:val="00263422"/>
    <w:rsid w:val="00264393"/>
    <w:rsid w:val="00265411"/>
    <w:rsid w:val="00266AF2"/>
    <w:rsid w:val="00266F95"/>
    <w:rsid w:val="002711C3"/>
    <w:rsid w:val="00273903"/>
    <w:rsid w:val="0027412A"/>
    <w:rsid w:val="002751C2"/>
    <w:rsid w:val="00275552"/>
    <w:rsid w:val="0027692A"/>
    <w:rsid w:val="00282854"/>
    <w:rsid w:val="00285770"/>
    <w:rsid w:val="00286374"/>
    <w:rsid w:val="00290BE7"/>
    <w:rsid w:val="00290E32"/>
    <w:rsid w:val="002919D0"/>
    <w:rsid w:val="00292E72"/>
    <w:rsid w:val="0029455D"/>
    <w:rsid w:val="002A04E1"/>
    <w:rsid w:val="002A4C69"/>
    <w:rsid w:val="002A4C9B"/>
    <w:rsid w:val="002A6A44"/>
    <w:rsid w:val="002B0813"/>
    <w:rsid w:val="002B2B7B"/>
    <w:rsid w:val="002B4911"/>
    <w:rsid w:val="002B6B7A"/>
    <w:rsid w:val="002C0B4A"/>
    <w:rsid w:val="002C3093"/>
    <w:rsid w:val="002C4C91"/>
    <w:rsid w:val="002C6555"/>
    <w:rsid w:val="002D029C"/>
    <w:rsid w:val="002D0DC3"/>
    <w:rsid w:val="002D2DC9"/>
    <w:rsid w:val="002D32CF"/>
    <w:rsid w:val="002D3561"/>
    <w:rsid w:val="002D36CB"/>
    <w:rsid w:val="002D707B"/>
    <w:rsid w:val="002E0237"/>
    <w:rsid w:val="002E0915"/>
    <w:rsid w:val="002E1AFC"/>
    <w:rsid w:val="002E22A5"/>
    <w:rsid w:val="002E2344"/>
    <w:rsid w:val="002E5120"/>
    <w:rsid w:val="002E5D4E"/>
    <w:rsid w:val="002E5F71"/>
    <w:rsid w:val="002F0B22"/>
    <w:rsid w:val="002F3A19"/>
    <w:rsid w:val="002F41F7"/>
    <w:rsid w:val="002F7A7B"/>
    <w:rsid w:val="00300716"/>
    <w:rsid w:val="003008CD"/>
    <w:rsid w:val="00300EA8"/>
    <w:rsid w:val="003033F1"/>
    <w:rsid w:val="00303751"/>
    <w:rsid w:val="00304117"/>
    <w:rsid w:val="00307029"/>
    <w:rsid w:val="00311F43"/>
    <w:rsid w:val="00315ADA"/>
    <w:rsid w:val="003179EB"/>
    <w:rsid w:val="00324465"/>
    <w:rsid w:val="00327126"/>
    <w:rsid w:val="00327A76"/>
    <w:rsid w:val="003303E9"/>
    <w:rsid w:val="003317C2"/>
    <w:rsid w:val="00331B01"/>
    <w:rsid w:val="00332930"/>
    <w:rsid w:val="00333EC1"/>
    <w:rsid w:val="00334457"/>
    <w:rsid w:val="0033458F"/>
    <w:rsid w:val="0033491A"/>
    <w:rsid w:val="00334F9E"/>
    <w:rsid w:val="00335133"/>
    <w:rsid w:val="0034094B"/>
    <w:rsid w:val="003413AB"/>
    <w:rsid w:val="0034509C"/>
    <w:rsid w:val="00350341"/>
    <w:rsid w:val="003507FA"/>
    <w:rsid w:val="003513ED"/>
    <w:rsid w:val="003520FE"/>
    <w:rsid w:val="00356745"/>
    <w:rsid w:val="00356DA5"/>
    <w:rsid w:val="00360D0D"/>
    <w:rsid w:val="003626BE"/>
    <w:rsid w:val="00364A7A"/>
    <w:rsid w:val="00364EAD"/>
    <w:rsid w:val="00365D61"/>
    <w:rsid w:val="0037244E"/>
    <w:rsid w:val="0037656D"/>
    <w:rsid w:val="00381875"/>
    <w:rsid w:val="00390481"/>
    <w:rsid w:val="00396FB5"/>
    <w:rsid w:val="0039737C"/>
    <w:rsid w:val="003A0F58"/>
    <w:rsid w:val="003A1871"/>
    <w:rsid w:val="003A298A"/>
    <w:rsid w:val="003A69BC"/>
    <w:rsid w:val="003A7F40"/>
    <w:rsid w:val="003B54F4"/>
    <w:rsid w:val="003B5AAF"/>
    <w:rsid w:val="003B6032"/>
    <w:rsid w:val="003B6D0A"/>
    <w:rsid w:val="003B6F6C"/>
    <w:rsid w:val="003B7681"/>
    <w:rsid w:val="003B7BB1"/>
    <w:rsid w:val="003C0324"/>
    <w:rsid w:val="003C14F7"/>
    <w:rsid w:val="003C22EB"/>
    <w:rsid w:val="003C3CFE"/>
    <w:rsid w:val="003C474F"/>
    <w:rsid w:val="003C5696"/>
    <w:rsid w:val="003C56A7"/>
    <w:rsid w:val="003C7331"/>
    <w:rsid w:val="003D1A77"/>
    <w:rsid w:val="003D379F"/>
    <w:rsid w:val="003D3A34"/>
    <w:rsid w:val="003D5B7B"/>
    <w:rsid w:val="003D64C1"/>
    <w:rsid w:val="003D69BB"/>
    <w:rsid w:val="003D69F4"/>
    <w:rsid w:val="003E1767"/>
    <w:rsid w:val="003E7D8F"/>
    <w:rsid w:val="003F024C"/>
    <w:rsid w:val="003F1A04"/>
    <w:rsid w:val="003F31A1"/>
    <w:rsid w:val="003F34C3"/>
    <w:rsid w:val="003F6D1E"/>
    <w:rsid w:val="003F7247"/>
    <w:rsid w:val="00401A06"/>
    <w:rsid w:val="00403B6E"/>
    <w:rsid w:val="004043B1"/>
    <w:rsid w:val="004044C0"/>
    <w:rsid w:val="00406FD4"/>
    <w:rsid w:val="004107DE"/>
    <w:rsid w:val="00412AC9"/>
    <w:rsid w:val="00412F75"/>
    <w:rsid w:val="00414090"/>
    <w:rsid w:val="00414600"/>
    <w:rsid w:val="0041683F"/>
    <w:rsid w:val="00422B0C"/>
    <w:rsid w:val="004234C9"/>
    <w:rsid w:val="00424742"/>
    <w:rsid w:val="00424AA5"/>
    <w:rsid w:val="00431B68"/>
    <w:rsid w:val="0043220A"/>
    <w:rsid w:val="0043301B"/>
    <w:rsid w:val="00433C0E"/>
    <w:rsid w:val="00435036"/>
    <w:rsid w:val="004363A2"/>
    <w:rsid w:val="00437BE2"/>
    <w:rsid w:val="00440885"/>
    <w:rsid w:val="00441217"/>
    <w:rsid w:val="004415EE"/>
    <w:rsid w:val="0045002D"/>
    <w:rsid w:val="0045179C"/>
    <w:rsid w:val="00452795"/>
    <w:rsid w:val="00453216"/>
    <w:rsid w:val="00455EBD"/>
    <w:rsid w:val="00457CCC"/>
    <w:rsid w:val="00457D24"/>
    <w:rsid w:val="00462F46"/>
    <w:rsid w:val="00463622"/>
    <w:rsid w:val="004657C7"/>
    <w:rsid w:val="004735D1"/>
    <w:rsid w:val="0047400C"/>
    <w:rsid w:val="00475A44"/>
    <w:rsid w:val="0048005A"/>
    <w:rsid w:val="0048070E"/>
    <w:rsid w:val="0048171F"/>
    <w:rsid w:val="00481A4A"/>
    <w:rsid w:val="00481FB4"/>
    <w:rsid w:val="0048441A"/>
    <w:rsid w:val="0048723D"/>
    <w:rsid w:val="004902A7"/>
    <w:rsid w:val="00491ABC"/>
    <w:rsid w:val="004A11B4"/>
    <w:rsid w:val="004A1C18"/>
    <w:rsid w:val="004A2C7D"/>
    <w:rsid w:val="004A480A"/>
    <w:rsid w:val="004A5143"/>
    <w:rsid w:val="004A79C4"/>
    <w:rsid w:val="004B214A"/>
    <w:rsid w:val="004B6CC9"/>
    <w:rsid w:val="004C267E"/>
    <w:rsid w:val="004C4602"/>
    <w:rsid w:val="004D5BEC"/>
    <w:rsid w:val="004D66A6"/>
    <w:rsid w:val="004D701E"/>
    <w:rsid w:val="004D791C"/>
    <w:rsid w:val="004E0A55"/>
    <w:rsid w:val="004E0FBB"/>
    <w:rsid w:val="004E3EC4"/>
    <w:rsid w:val="004E4B89"/>
    <w:rsid w:val="004E5C8F"/>
    <w:rsid w:val="004E699F"/>
    <w:rsid w:val="004F1BA8"/>
    <w:rsid w:val="004F1C20"/>
    <w:rsid w:val="004F2345"/>
    <w:rsid w:val="004F2DC0"/>
    <w:rsid w:val="004F52C8"/>
    <w:rsid w:val="004F6929"/>
    <w:rsid w:val="004F70E5"/>
    <w:rsid w:val="00500253"/>
    <w:rsid w:val="00504E5A"/>
    <w:rsid w:val="00510D71"/>
    <w:rsid w:val="00512A6C"/>
    <w:rsid w:val="0051359F"/>
    <w:rsid w:val="0051550D"/>
    <w:rsid w:val="00517108"/>
    <w:rsid w:val="00517A61"/>
    <w:rsid w:val="0052071D"/>
    <w:rsid w:val="00520A9E"/>
    <w:rsid w:val="00521FA5"/>
    <w:rsid w:val="00526B5A"/>
    <w:rsid w:val="00527A6C"/>
    <w:rsid w:val="00531429"/>
    <w:rsid w:val="005324C6"/>
    <w:rsid w:val="00534000"/>
    <w:rsid w:val="005356AE"/>
    <w:rsid w:val="005363EB"/>
    <w:rsid w:val="005369F3"/>
    <w:rsid w:val="00536EA9"/>
    <w:rsid w:val="00541722"/>
    <w:rsid w:val="005431E3"/>
    <w:rsid w:val="005455A5"/>
    <w:rsid w:val="005458E8"/>
    <w:rsid w:val="00547EEF"/>
    <w:rsid w:val="00552CA4"/>
    <w:rsid w:val="005541B9"/>
    <w:rsid w:val="00556336"/>
    <w:rsid w:val="00561D5C"/>
    <w:rsid w:val="005628D8"/>
    <w:rsid w:val="00564797"/>
    <w:rsid w:val="00564F2D"/>
    <w:rsid w:val="005653CF"/>
    <w:rsid w:val="0057045E"/>
    <w:rsid w:val="005723AC"/>
    <w:rsid w:val="005735DC"/>
    <w:rsid w:val="005736CD"/>
    <w:rsid w:val="00573F37"/>
    <w:rsid w:val="00575736"/>
    <w:rsid w:val="0057673A"/>
    <w:rsid w:val="00580AD6"/>
    <w:rsid w:val="0058268A"/>
    <w:rsid w:val="00582E31"/>
    <w:rsid w:val="00583CA6"/>
    <w:rsid w:val="00586AD4"/>
    <w:rsid w:val="00586D58"/>
    <w:rsid w:val="00590030"/>
    <w:rsid w:val="0059030A"/>
    <w:rsid w:val="00592F54"/>
    <w:rsid w:val="005931E2"/>
    <w:rsid w:val="00593A5B"/>
    <w:rsid w:val="00593D9A"/>
    <w:rsid w:val="00597625"/>
    <w:rsid w:val="005A0341"/>
    <w:rsid w:val="005A1537"/>
    <w:rsid w:val="005A2158"/>
    <w:rsid w:val="005A55C6"/>
    <w:rsid w:val="005A6428"/>
    <w:rsid w:val="005A6ED5"/>
    <w:rsid w:val="005B2C27"/>
    <w:rsid w:val="005B4E8B"/>
    <w:rsid w:val="005B616F"/>
    <w:rsid w:val="005B7CC3"/>
    <w:rsid w:val="005C051E"/>
    <w:rsid w:val="005C1DC4"/>
    <w:rsid w:val="005C2383"/>
    <w:rsid w:val="005C3319"/>
    <w:rsid w:val="005C4E4C"/>
    <w:rsid w:val="005C5BB1"/>
    <w:rsid w:val="005C6E69"/>
    <w:rsid w:val="005C7EB0"/>
    <w:rsid w:val="005D1E01"/>
    <w:rsid w:val="005D3268"/>
    <w:rsid w:val="005D4311"/>
    <w:rsid w:val="005D583A"/>
    <w:rsid w:val="005D7269"/>
    <w:rsid w:val="005E02A9"/>
    <w:rsid w:val="005E1E60"/>
    <w:rsid w:val="005E2EDF"/>
    <w:rsid w:val="005E34F7"/>
    <w:rsid w:val="005E4492"/>
    <w:rsid w:val="005E4A94"/>
    <w:rsid w:val="005E57C4"/>
    <w:rsid w:val="005E5A32"/>
    <w:rsid w:val="005F1B14"/>
    <w:rsid w:val="005F3DA1"/>
    <w:rsid w:val="005F4FC4"/>
    <w:rsid w:val="00600299"/>
    <w:rsid w:val="00601639"/>
    <w:rsid w:val="006029AD"/>
    <w:rsid w:val="0060692A"/>
    <w:rsid w:val="00610362"/>
    <w:rsid w:val="00612319"/>
    <w:rsid w:val="00613237"/>
    <w:rsid w:val="00615C2C"/>
    <w:rsid w:val="006226DB"/>
    <w:rsid w:val="00624BDD"/>
    <w:rsid w:val="006263DA"/>
    <w:rsid w:val="00631804"/>
    <w:rsid w:val="00634457"/>
    <w:rsid w:val="00635AC0"/>
    <w:rsid w:val="00635B0D"/>
    <w:rsid w:val="006360B1"/>
    <w:rsid w:val="006360F0"/>
    <w:rsid w:val="00637460"/>
    <w:rsid w:val="00641F85"/>
    <w:rsid w:val="006426D6"/>
    <w:rsid w:val="00643FA9"/>
    <w:rsid w:val="006454C8"/>
    <w:rsid w:val="00647980"/>
    <w:rsid w:val="00650C2F"/>
    <w:rsid w:val="00651796"/>
    <w:rsid w:val="0065450F"/>
    <w:rsid w:val="00656257"/>
    <w:rsid w:val="0065632C"/>
    <w:rsid w:val="006600AC"/>
    <w:rsid w:val="00661012"/>
    <w:rsid w:val="006610A8"/>
    <w:rsid w:val="00664B5D"/>
    <w:rsid w:val="00664C72"/>
    <w:rsid w:val="006737C1"/>
    <w:rsid w:val="00673C2B"/>
    <w:rsid w:val="00681982"/>
    <w:rsid w:val="00682B8D"/>
    <w:rsid w:val="00684062"/>
    <w:rsid w:val="0068406F"/>
    <w:rsid w:val="00687332"/>
    <w:rsid w:val="00690F23"/>
    <w:rsid w:val="00691123"/>
    <w:rsid w:val="00692ACF"/>
    <w:rsid w:val="00692C8B"/>
    <w:rsid w:val="00697267"/>
    <w:rsid w:val="006A16BA"/>
    <w:rsid w:val="006A1F1D"/>
    <w:rsid w:val="006A2DEC"/>
    <w:rsid w:val="006A32D7"/>
    <w:rsid w:val="006A3C98"/>
    <w:rsid w:val="006A51DE"/>
    <w:rsid w:val="006A5832"/>
    <w:rsid w:val="006A5FDB"/>
    <w:rsid w:val="006A6843"/>
    <w:rsid w:val="006B2962"/>
    <w:rsid w:val="006B4243"/>
    <w:rsid w:val="006B6276"/>
    <w:rsid w:val="006B6339"/>
    <w:rsid w:val="006B789F"/>
    <w:rsid w:val="006C10DC"/>
    <w:rsid w:val="006C196F"/>
    <w:rsid w:val="006C1AAD"/>
    <w:rsid w:val="006C25A0"/>
    <w:rsid w:val="006D5874"/>
    <w:rsid w:val="006D58F2"/>
    <w:rsid w:val="006D6070"/>
    <w:rsid w:val="006D7867"/>
    <w:rsid w:val="006E0D04"/>
    <w:rsid w:val="006E3147"/>
    <w:rsid w:val="006E3B70"/>
    <w:rsid w:val="006E4603"/>
    <w:rsid w:val="006E4938"/>
    <w:rsid w:val="006E5FB5"/>
    <w:rsid w:val="006E6C16"/>
    <w:rsid w:val="006E79AD"/>
    <w:rsid w:val="006E7A35"/>
    <w:rsid w:val="006F031A"/>
    <w:rsid w:val="006F0392"/>
    <w:rsid w:val="006F15F9"/>
    <w:rsid w:val="006F2556"/>
    <w:rsid w:val="006F3324"/>
    <w:rsid w:val="006F4E6B"/>
    <w:rsid w:val="006F5E62"/>
    <w:rsid w:val="006F6CC7"/>
    <w:rsid w:val="0070202E"/>
    <w:rsid w:val="00704263"/>
    <w:rsid w:val="007052C5"/>
    <w:rsid w:val="007054C7"/>
    <w:rsid w:val="0071182D"/>
    <w:rsid w:val="00713058"/>
    <w:rsid w:val="007132E1"/>
    <w:rsid w:val="0071388D"/>
    <w:rsid w:val="007142CC"/>
    <w:rsid w:val="0071518D"/>
    <w:rsid w:val="00717920"/>
    <w:rsid w:val="00722298"/>
    <w:rsid w:val="00722DBE"/>
    <w:rsid w:val="00724181"/>
    <w:rsid w:val="007322E9"/>
    <w:rsid w:val="00733D0B"/>
    <w:rsid w:val="00733E76"/>
    <w:rsid w:val="00735783"/>
    <w:rsid w:val="007404E1"/>
    <w:rsid w:val="0074165E"/>
    <w:rsid w:val="007424E4"/>
    <w:rsid w:val="007433DB"/>
    <w:rsid w:val="007435A1"/>
    <w:rsid w:val="00743BE0"/>
    <w:rsid w:val="00744B73"/>
    <w:rsid w:val="0074655E"/>
    <w:rsid w:val="00747832"/>
    <w:rsid w:val="00752543"/>
    <w:rsid w:val="007547C1"/>
    <w:rsid w:val="00755975"/>
    <w:rsid w:val="00760361"/>
    <w:rsid w:val="007616B4"/>
    <w:rsid w:val="00763221"/>
    <w:rsid w:val="007638EE"/>
    <w:rsid w:val="00766646"/>
    <w:rsid w:val="007669DF"/>
    <w:rsid w:val="00767FFE"/>
    <w:rsid w:val="00770CEE"/>
    <w:rsid w:val="00773340"/>
    <w:rsid w:val="00773422"/>
    <w:rsid w:val="0077384F"/>
    <w:rsid w:val="00773CF3"/>
    <w:rsid w:val="007743F5"/>
    <w:rsid w:val="0077441D"/>
    <w:rsid w:val="007744BC"/>
    <w:rsid w:val="00774FC6"/>
    <w:rsid w:val="0077563E"/>
    <w:rsid w:val="0077620D"/>
    <w:rsid w:val="0078211E"/>
    <w:rsid w:val="007828C9"/>
    <w:rsid w:val="00784BE8"/>
    <w:rsid w:val="0078526D"/>
    <w:rsid w:val="0078560D"/>
    <w:rsid w:val="00785C17"/>
    <w:rsid w:val="0078695A"/>
    <w:rsid w:val="00786A5A"/>
    <w:rsid w:val="0078799A"/>
    <w:rsid w:val="00792CF2"/>
    <w:rsid w:val="00793A4C"/>
    <w:rsid w:val="007958F4"/>
    <w:rsid w:val="00795BD3"/>
    <w:rsid w:val="007A00E7"/>
    <w:rsid w:val="007A0209"/>
    <w:rsid w:val="007A1759"/>
    <w:rsid w:val="007A2552"/>
    <w:rsid w:val="007A4889"/>
    <w:rsid w:val="007A7253"/>
    <w:rsid w:val="007B09CE"/>
    <w:rsid w:val="007B6A60"/>
    <w:rsid w:val="007B7E70"/>
    <w:rsid w:val="007C1D76"/>
    <w:rsid w:val="007C1E6A"/>
    <w:rsid w:val="007C4036"/>
    <w:rsid w:val="007C4797"/>
    <w:rsid w:val="007C5C9B"/>
    <w:rsid w:val="007D5593"/>
    <w:rsid w:val="007D5CE4"/>
    <w:rsid w:val="007D7F14"/>
    <w:rsid w:val="007E0BA5"/>
    <w:rsid w:val="007E292D"/>
    <w:rsid w:val="007E3EA7"/>
    <w:rsid w:val="007E50DA"/>
    <w:rsid w:val="007E7EE7"/>
    <w:rsid w:val="007F43D8"/>
    <w:rsid w:val="007F61DF"/>
    <w:rsid w:val="007F7194"/>
    <w:rsid w:val="007F7D51"/>
    <w:rsid w:val="008001FA"/>
    <w:rsid w:val="0080105A"/>
    <w:rsid w:val="008015DB"/>
    <w:rsid w:val="00801B20"/>
    <w:rsid w:val="00803E5F"/>
    <w:rsid w:val="00804DB1"/>
    <w:rsid w:val="00805AAA"/>
    <w:rsid w:val="008109CF"/>
    <w:rsid w:val="00811616"/>
    <w:rsid w:val="00811F59"/>
    <w:rsid w:val="0081216E"/>
    <w:rsid w:val="00812CFF"/>
    <w:rsid w:val="00813526"/>
    <w:rsid w:val="00814FB8"/>
    <w:rsid w:val="00820B8A"/>
    <w:rsid w:val="00822F8E"/>
    <w:rsid w:val="0082443D"/>
    <w:rsid w:val="008266AA"/>
    <w:rsid w:val="0082675E"/>
    <w:rsid w:val="00826DC6"/>
    <w:rsid w:val="00827EA1"/>
    <w:rsid w:val="00831CE3"/>
    <w:rsid w:val="008337C7"/>
    <w:rsid w:val="008338B1"/>
    <w:rsid w:val="00834496"/>
    <w:rsid w:val="00836CCA"/>
    <w:rsid w:val="00836E63"/>
    <w:rsid w:val="00837F98"/>
    <w:rsid w:val="00840140"/>
    <w:rsid w:val="0084027C"/>
    <w:rsid w:val="0084131C"/>
    <w:rsid w:val="00841BC0"/>
    <w:rsid w:val="00842CD5"/>
    <w:rsid w:val="0085047F"/>
    <w:rsid w:val="00853488"/>
    <w:rsid w:val="008544E9"/>
    <w:rsid w:val="008556DA"/>
    <w:rsid w:val="00860803"/>
    <w:rsid w:val="00860FF1"/>
    <w:rsid w:val="00861569"/>
    <w:rsid w:val="0087080B"/>
    <w:rsid w:val="008751C9"/>
    <w:rsid w:val="008751E7"/>
    <w:rsid w:val="00877B2B"/>
    <w:rsid w:val="00880CE2"/>
    <w:rsid w:val="008811B3"/>
    <w:rsid w:val="008855F6"/>
    <w:rsid w:val="00886A32"/>
    <w:rsid w:val="0088750D"/>
    <w:rsid w:val="008909C4"/>
    <w:rsid w:val="00892592"/>
    <w:rsid w:val="008956BB"/>
    <w:rsid w:val="00897EB5"/>
    <w:rsid w:val="008A1B79"/>
    <w:rsid w:val="008A5729"/>
    <w:rsid w:val="008A661A"/>
    <w:rsid w:val="008A6825"/>
    <w:rsid w:val="008B31ED"/>
    <w:rsid w:val="008B4AF7"/>
    <w:rsid w:val="008B54D4"/>
    <w:rsid w:val="008B654D"/>
    <w:rsid w:val="008B7B69"/>
    <w:rsid w:val="008C0F28"/>
    <w:rsid w:val="008C1843"/>
    <w:rsid w:val="008C3F78"/>
    <w:rsid w:val="008C7FAC"/>
    <w:rsid w:val="008D18FC"/>
    <w:rsid w:val="008D2E67"/>
    <w:rsid w:val="008D3F6C"/>
    <w:rsid w:val="008D5851"/>
    <w:rsid w:val="008D585E"/>
    <w:rsid w:val="008D5E4D"/>
    <w:rsid w:val="008D6731"/>
    <w:rsid w:val="008D6E02"/>
    <w:rsid w:val="008D7E16"/>
    <w:rsid w:val="008E1B62"/>
    <w:rsid w:val="008E1D31"/>
    <w:rsid w:val="008E2566"/>
    <w:rsid w:val="008E2917"/>
    <w:rsid w:val="008E521B"/>
    <w:rsid w:val="008F0AEF"/>
    <w:rsid w:val="008F19FD"/>
    <w:rsid w:val="008F543D"/>
    <w:rsid w:val="008F5D4D"/>
    <w:rsid w:val="0090092C"/>
    <w:rsid w:val="00901C1B"/>
    <w:rsid w:val="00902A64"/>
    <w:rsid w:val="00902B3A"/>
    <w:rsid w:val="00906E7A"/>
    <w:rsid w:val="009071F8"/>
    <w:rsid w:val="00907780"/>
    <w:rsid w:val="00910F0E"/>
    <w:rsid w:val="00912CEA"/>
    <w:rsid w:val="009147D5"/>
    <w:rsid w:val="00915DF7"/>
    <w:rsid w:val="00916423"/>
    <w:rsid w:val="00917AC0"/>
    <w:rsid w:val="00917C41"/>
    <w:rsid w:val="00920396"/>
    <w:rsid w:val="0092192D"/>
    <w:rsid w:val="0092290B"/>
    <w:rsid w:val="00925482"/>
    <w:rsid w:val="009264A3"/>
    <w:rsid w:val="00927CE3"/>
    <w:rsid w:val="00927EC6"/>
    <w:rsid w:val="00930D5A"/>
    <w:rsid w:val="00936AD5"/>
    <w:rsid w:val="00936D99"/>
    <w:rsid w:val="00937C1E"/>
    <w:rsid w:val="009416F1"/>
    <w:rsid w:val="0094199A"/>
    <w:rsid w:val="00942157"/>
    <w:rsid w:val="009428A9"/>
    <w:rsid w:val="0094493D"/>
    <w:rsid w:val="00944C98"/>
    <w:rsid w:val="00945FB1"/>
    <w:rsid w:val="009500ED"/>
    <w:rsid w:val="00952158"/>
    <w:rsid w:val="0095528B"/>
    <w:rsid w:val="009569C1"/>
    <w:rsid w:val="00956B81"/>
    <w:rsid w:val="00956D3C"/>
    <w:rsid w:val="00956F62"/>
    <w:rsid w:val="009572AF"/>
    <w:rsid w:val="00961275"/>
    <w:rsid w:val="009612C9"/>
    <w:rsid w:val="009622FD"/>
    <w:rsid w:val="00964A80"/>
    <w:rsid w:val="00966D50"/>
    <w:rsid w:val="009703C4"/>
    <w:rsid w:val="00971639"/>
    <w:rsid w:val="009800F6"/>
    <w:rsid w:val="0098242B"/>
    <w:rsid w:val="00984243"/>
    <w:rsid w:val="009848BD"/>
    <w:rsid w:val="009862F9"/>
    <w:rsid w:val="0098765A"/>
    <w:rsid w:val="009915BF"/>
    <w:rsid w:val="00991B21"/>
    <w:rsid w:val="00993D0B"/>
    <w:rsid w:val="009952AF"/>
    <w:rsid w:val="00995B4A"/>
    <w:rsid w:val="009A144A"/>
    <w:rsid w:val="009A2FF3"/>
    <w:rsid w:val="009A322E"/>
    <w:rsid w:val="009A6AA9"/>
    <w:rsid w:val="009A6AB0"/>
    <w:rsid w:val="009A6AF4"/>
    <w:rsid w:val="009B0089"/>
    <w:rsid w:val="009B0BEE"/>
    <w:rsid w:val="009B0DFC"/>
    <w:rsid w:val="009B0ED9"/>
    <w:rsid w:val="009B1483"/>
    <w:rsid w:val="009B4156"/>
    <w:rsid w:val="009B58FE"/>
    <w:rsid w:val="009C44AE"/>
    <w:rsid w:val="009C4E78"/>
    <w:rsid w:val="009C51E3"/>
    <w:rsid w:val="009C7DA4"/>
    <w:rsid w:val="009D4DA4"/>
    <w:rsid w:val="009D5752"/>
    <w:rsid w:val="009D5A2D"/>
    <w:rsid w:val="009D6351"/>
    <w:rsid w:val="009D726B"/>
    <w:rsid w:val="009E0920"/>
    <w:rsid w:val="009E1527"/>
    <w:rsid w:val="009E154F"/>
    <w:rsid w:val="009E1E6F"/>
    <w:rsid w:val="009E284A"/>
    <w:rsid w:val="009E33A2"/>
    <w:rsid w:val="009E60A8"/>
    <w:rsid w:val="009E60E7"/>
    <w:rsid w:val="009E716F"/>
    <w:rsid w:val="009F032F"/>
    <w:rsid w:val="009F18A0"/>
    <w:rsid w:val="009F23DA"/>
    <w:rsid w:val="009F2E6A"/>
    <w:rsid w:val="009F2F28"/>
    <w:rsid w:val="009F4191"/>
    <w:rsid w:val="009F4867"/>
    <w:rsid w:val="009F4BD7"/>
    <w:rsid w:val="009F4CF9"/>
    <w:rsid w:val="009F5245"/>
    <w:rsid w:val="009F594E"/>
    <w:rsid w:val="009F5961"/>
    <w:rsid w:val="009F707F"/>
    <w:rsid w:val="00A004EA"/>
    <w:rsid w:val="00A032F6"/>
    <w:rsid w:val="00A04D4A"/>
    <w:rsid w:val="00A06C3E"/>
    <w:rsid w:val="00A13910"/>
    <w:rsid w:val="00A1466B"/>
    <w:rsid w:val="00A16919"/>
    <w:rsid w:val="00A2039A"/>
    <w:rsid w:val="00A212C1"/>
    <w:rsid w:val="00A220B3"/>
    <w:rsid w:val="00A2335E"/>
    <w:rsid w:val="00A26335"/>
    <w:rsid w:val="00A30055"/>
    <w:rsid w:val="00A324CB"/>
    <w:rsid w:val="00A346E2"/>
    <w:rsid w:val="00A3502F"/>
    <w:rsid w:val="00A36133"/>
    <w:rsid w:val="00A3721F"/>
    <w:rsid w:val="00A37E54"/>
    <w:rsid w:val="00A41249"/>
    <w:rsid w:val="00A42549"/>
    <w:rsid w:val="00A44DD5"/>
    <w:rsid w:val="00A44EF4"/>
    <w:rsid w:val="00A45015"/>
    <w:rsid w:val="00A4584C"/>
    <w:rsid w:val="00A461FF"/>
    <w:rsid w:val="00A50194"/>
    <w:rsid w:val="00A50C99"/>
    <w:rsid w:val="00A50DA7"/>
    <w:rsid w:val="00A522C9"/>
    <w:rsid w:val="00A52C8F"/>
    <w:rsid w:val="00A55223"/>
    <w:rsid w:val="00A5566F"/>
    <w:rsid w:val="00A56A5E"/>
    <w:rsid w:val="00A57257"/>
    <w:rsid w:val="00A572FE"/>
    <w:rsid w:val="00A57EA4"/>
    <w:rsid w:val="00A605DE"/>
    <w:rsid w:val="00A63B24"/>
    <w:rsid w:val="00A648D4"/>
    <w:rsid w:val="00A70443"/>
    <w:rsid w:val="00A70459"/>
    <w:rsid w:val="00A714FD"/>
    <w:rsid w:val="00A721AC"/>
    <w:rsid w:val="00A72C98"/>
    <w:rsid w:val="00A732FD"/>
    <w:rsid w:val="00A73F9C"/>
    <w:rsid w:val="00A752C2"/>
    <w:rsid w:val="00A75C33"/>
    <w:rsid w:val="00A75C45"/>
    <w:rsid w:val="00A81A99"/>
    <w:rsid w:val="00A81FA9"/>
    <w:rsid w:val="00A8330A"/>
    <w:rsid w:val="00A8496C"/>
    <w:rsid w:val="00A86A0A"/>
    <w:rsid w:val="00A903AE"/>
    <w:rsid w:val="00A91484"/>
    <w:rsid w:val="00A91E53"/>
    <w:rsid w:val="00A91F5B"/>
    <w:rsid w:val="00A9291B"/>
    <w:rsid w:val="00A95CEC"/>
    <w:rsid w:val="00A9642F"/>
    <w:rsid w:val="00AA1D3F"/>
    <w:rsid w:val="00AA29A6"/>
    <w:rsid w:val="00AB0F48"/>
    <w:rsid w:val="00AB0F8F"/>
    <w:rsid w:val="00AB1274"/>
    <w:rsid w:val="00AB2052"/>
    <w:rsid w:val="00AB3480"/>
    <w:rsid w:val="00AB6BAC"/>
    <w:rsid w:val="00AC2AAA"/>
    <w:rsid w:val="00AC533C"/>
    <w:rsid w:val="00AC5F79"/>
    <w:rsid w:val="00AC6557"/>
    <w:rsid w:val="00AC7AEC"/>
    <w:rsid w:val="00AD0164"/>
    <w:rsid w:val="00AD3201"/>
    <w:rsid w:val="00AD3E3C"/>
    <w:rsid w:val="00AD60B2"/>
    <w:rsid w:val="00AD6830"/>
    <w:rsid w:val="00AD7D6F"/>
    <w:rsid w:val="00AE01C2"/>
    <w:rsid w:val="00AE20BA"/>
    <w:rsid w:val="00AE2AD0"/>
    <w:rsid w:val="00AE656D"/>
    <w:rsid w:val="00AE729C"/>
    <w:rsid w:val="00AE78C6"/>
    <w:rsid w:val="00AF51D9"/>
    <w:rsid w:val="00AF56E2"/>
    <w:rsid w:val="00AF7F35"/>
    <w:rsid w:val="00B00BA8"/>
    <w:rsid w:val="00B00E09"/>
    <w:rsid w:val="00B0217B"/>
    <w:rsid w:val="00B07753"/>
    <w:rsid w:val="00B12638"/>
    <w:rsid w:val="00B13DCA"/>
    <w:rsid w:val="00B149C1"/>
    <w:rsid w:val="00B1677C"/>
    <w:rsid w:val="00B206BF"/>
    <w:rsid w:val="00B217DC"/>
    <w:rsid w:val="00B221C7"/>
    <w:rsid w:val="00B26CC8"/>
    <w:rsid w:val="00B278C2"/>
    <w:rsid w:val="00B30422"/>
    <w:rsid w:val="00B30F1B"/>
    <w:rsid w:val="00B316B0"/>
    <w:rsid w:val="00B35758"/>
    <w:rsid w:val="00B35ED1"/>
    <w:rsid w:val="00B36378"/>
    <w:rsid w:val="00B37B14"/>
    <w:rsid w:val="00B41EF8"/>
    <w:rsid w:val="00B448C3"/>
    <w:rsid w:val="00B45459"/>
    <w:rsid w:val="00B455CF"/>
    <w:rsid w:val="00B45F6E"/>
    <w:rsid w:val="00B46F5A"/>
    <w:rsid w:val="00B50D04"/>
    <w:rsid w:val="00B513B8"/>
    <w:rsid w:val="00B52136"/>
    <w:rsid w:val="00B56615"/>
    <w:rsid w:val="00B57B3E"/>
    <w:rsid w:val="00B57D0F"/>
    <w:rsid w:val="00B61EAB"/>
    <w:rsid w:val="00B657DA"/>
    <w:rsid w:val="00B65F80"/>
    <w:rsid w:val="00B65FA9"/>
    <w:rsid w:val="00B70218"/>
    <w:rsid w:val="00B70A26"/>
    <w:rsid w:val="00B70ECE"/>
    <w:rsid w:val="00B71368"/>
    <w:rsid w:val="00B7358F"/>
    <w:rsid w:val="00B73AFF"/>
    <w:rsid w:val="00B807ED"/>
    <w:rsid w:val="00B81686"/>
    <w:rsid w:val="00B81A6B"/>
    <w:rsid w:val="00B8254E"/>
    <w:rsid w:val="00B8395C"/>
    <w:rsid w:val="00B843B3"/>
    <w:rsid w:val="00B8525F"/>
    <w:rsid w:val="00B85DF1"/>
    <w:rsid w:val="00B86166"/>
    <w:rsid w:val="00B94DD9"/>
    <w:rsid w:val="00B97D37"/>
    <w:rsid w:val="00BA177B"/>
    <w:rsid w:val="00BA19CA"/>
    <w:rsid w:val="00BA2012"/>
    <w:rsid w:val="00BA2B14"/>
    <w:rsid w:val="00BA2F33"/>
    <w:rsid w:val="00BA3795"/>
    <w:rsid w:val="00BA4835"/>
    <w:rsid w:val="00BA4BCF"/>
    <w:rsid w:val="00BA50A6"/>
    <w:rsid w:val="00BA55F4"/>
    <w:rsid w:val="00BA72DC"/>
    <w:rsid w:val="00BB156A"/>
    <w:rsid w:val="00BB2F1C"/>
    <w:rsid w:val="00BB796B"/>
    <w:rsid w:val="00BB7A1C"/>
    <w:rsid w:val="00BC15AE"/>
    <w:rsid w:val="00BC5730"/>
    <w:rsid w:val="00BC6AB2"/>
    <w:rsid w:val="00BC7232"/>
    <w:rsid w:val="00BD0126"/>
    <w:rsid w:val="00BD1E11"/>
    <w:rsid w:val="00BD2831"/>
    <w:rsid w:val="00BD35DF"/>
    <w:rsid w:val="00BD493A"/>
    <w:rsid w:val="00BD4F2E"/>
    <w:rsid w:val="00BE0986"/>
    <w:rsid w:val="00BE2726"/>
    <w:rsid w:val="00BE2BFE"/>
    <w:rsid w:val="00BE2E99"/>
    <w:rsid w:val="00BE3883"/>
    <w:rsid w:val="00BE440E"/>
    <w:rsid w:val="00BE4AB2"/>
    <w:rsid w:val="00BE75C4"/>
    <w:rsid w:val="00BF04BD"/>
    <w:rsid w:val="00BF1E00"/>
    <w:rsid w:val="00BF2958"/>
    <w:rsid w:val="00BF2C55"/>
    <w:rsid w:val="00BF51D6"/>
    <w:rsid w:val="00BF6983"/>
    <w:rsid w:val="00BF760C"/>
    <w:rsid w:val="00C02D95"/>
    <w:rsid w:val="00C0388E"/>
    <w:rsid w:val="00C0592C"/>
    <w:rsid w:val="00C0600B"/>
    <w:rsid w:val="00C104AA"/>
    <w:rsid w:val="00C1058F"/>
    <w:rsid w:val="00C10A26"/>
    <w:rsid w:val="00C123F6"/>
    <w:rsid w:val="00C1278C"/>
    <w:rsid w:val="00C13211"/>
    <w:rsid w:val="00C148F6"/>
    <w:rsid w:val="00C17CD8"/>
    <w:rsid w:val="00C20C67"/>
    <w:rsid w:val="00C22DA6"/>
    <w:rsid w:val="00C246A9"/>
    <w:rsid w:val="00C25BBB"/>
    <w:rsid w:val="00C26DB6"/>
    <w:rsid w:val="00C278EA"/>
    <w:rsid w:val="00C279AB"/>
    <w:rsid w:val="00C30FDF"/>
    <w:rsid w:val="00C31849"/>
    <w:rsid w:val="00C33603"/>
    <w:rsid w:val="00C353EB"/>
    <w:rsid w:val="00C36F0F"/>
    <w:rsid w:val="00C37644"/>
    <w:rsid w:val="00C41DBF"/>
    <w:rsid w:val="00C426D6"/>
    <w:rsid w:val="00C461C2"/>
    <w:rsid w:val="00C462C9"/>
    <w:rsid w:val="00C46494"/>
    <w:rsid w:val="00C47558"/>
    <w:rsid w:val="00C5129D"/>
    <w:rsid w:val="00C53850"/>
    <w:rsid w:val="00C555D5"/>
    <w:rsid w:val="00C5611A"/>
    <w:rsid w:val="00C564E9"/>
    <w:rsid w:val="00C56BAA"/>
    <w:rsid w:val="00C56E65"/>
    <w:rsid w:val="00C616A9"/>
    <w:rsid w:val="00C62025"/>
    <w:rsid w:val="00C63F80"/>
    <w:rsid w:val="00C6461F"/>
    <w:rsid w:val="00C66193"/>
    <w:rsid w:val="00C713CF"/>
    <w:rsid w:val="00C7320C"/>
    <w:rsid w:val="00C757CE"/>
    <w:rsid w:val="00C7711E"/>
    <w:rsid w:val="00C80819"/>
    <w:rsid w:val="00C8495F"/>
    <w:rsid w:val="00C84AB9"/>
    <w:rsid w:val="00C85DF7"/>
    <w:rsid w:val="00C919D8"/>
    <w:rsid w:val="00C9264B"/>
    <w:rsid w:val="00C93675"/>
    <w:rsid w:val="00C93886"/>
    <w:rsid w:val="00C963E4"/>
    <w:rsid w:val="00CA0D50"/>
    <w:rsid w:val="00CA20C1"/>
    <w:rsid w:val="00CA3DA4"/>
    <w:rsid w:val="00CA533F"/>
    <w:rsid w:val="00CA60E0"/>
    <w:rsid w:val="00CB054B"/>
    <w:rsid w:val="00CB067F"/>
    <w:rsid w:val="00CB08E8"/>
    <w:rsid w:val="00CB3066"/>
    <w:rsid w:val="00CC058A"/>
    <w:rsid w:val="00CC33AA"/>
    <w:rsid w:val="00CC4B52"/>
    <w:rsid w:val="00CC79AA"/>
    <w:rsid w:val="00CD010D"/>
    <w:rsid w:val="00CD03C3"/>
    <w:rsid w:val="00CD1264"/>
    <w:rsid w:val="00CD14C3"/>
    <w:rsid w:val="00CD5F22"/>
    <w:rsid w:val="00CD6EE2"/>
    <w:rsid w:val="00CD6FEC"/>
    <w:rsid w:val="00CE04DF"/>
    <w:rsid w:val="00CE09DE"/>
    <w:rsid w:val="00CE0BAE"/>
    <w:rsid w:val="00CE1E64"/>
    <w:rsid w:val="00CE22A8"/>
    <w:rsid w:val="00CF6550"/>
    <w:rsid w:val="00D00ED7"/>
    <w:rsid w:val="00D03F0D"/>
    <w:rsid w:val="00D07FA1"/>
    <w:rsid w:val="00D10F8E"/>
    <w:rsid w:val="00D14083"/>
    <w:rsid w:val="00D14883"/>
    <w:rsid w:val="00D15D1E"/>
    <w:rsid w:val="00D15D29"/>
    <w:rsid w:val="00D16283"/>
    <w:rsid w:val="00D24140"/>
    <w:rsid w:val="00D24F98"/>
    <w:rsid w:val="00D254E8"/>
    <w:rsid w:val="00D30FC6"/>
    <w:rsid w:val="00D32DFD"/>
    <w:rsid w:val="00D33B00"/>
    <w:rsid w:val="00D34902"/>
    <w:rsid w:val="00D34B84"/>
    <w:rsid w:val="00D35A26"/>
    <w:rsid w:val="00D369EF"/>
    <w:rsid w:val="00D41084"/>
    <w:rsid w:val="00D41291"/>
    <w:rsid w:val="00D4145C"/>
    <w:rsid w:val="00D43167"/>
    <w:rsid w:val="00D43931"/>
    <w:rsid w:val="00D45913"/>
    <w:rsid w:val="00D46C89"/>
    <w:rsid w:val="00D5065A"/>
    <w:rsid w:val="00D5107D"/>
    <w:rsid w:val="00D524FE"/>
    <w:rsid w:val="00D54F2B"/>
    <w:rsid w:val="00D55243"/>
    <w:rsid w:val="00D55400"/>
    <w:rsid w:val="00D57100"/>
    <w:rsid w:val="00D57AEF"/>
    <w:rsid w:val="00D603D3"/>
    <w:rsid w:val="00D61123"/>
    <w:rsid w:val="00D63360"/>
    <w:rsid w:val="00D64087"/>
    <w:rsid w:val="00D67CF6"/>
    <w:rsid w:val="00D72D95"/>
    <w:rsid w:val="00D7555C"/>
    <w:rsid w:val="00D76BC1"/>
    <w:rsid w:val="00D77C65"/>
    <w:rsid w:val="00D83DE8"/>
    <w:rsid w:val="00D8601B"/>
    <w:rsid w:val="00D86332"/>
    <w:rsid w:val="00D87E33"/>
    <w:rsid w:val="00D901FE"/>
    <w:rsid w:val="00D9155F"/>
    <w:rsid w:val="00D91878"/>
    <w:rsid w:val="00D93ED8"/>
    <w:rsid w:val="00D949DF"/>
    <w:rsid w:val="00DA140C"/>
    <w:rsid w:val="00DA16C7"/>
    <w:rsid w:val="00DA19BB"/>
    <w:rsid w:val="00DA650D"/>
    <w:rsid w:val="00DA670A"/>
    <w:rsid w:val="00DB1576"/>
    <w:rsid w:val="00DB4233"/>
    <w:rsid w:val="00DC4724"/>
    <w:rsid w:val="00DC602A"/>
    <w:rsid w:val="00DC7D11"/>
    <w:rsid w:val="00DD0980"/>
    <w:rsid w:val="00DD0F18"/>
    <w:rsid w:val="00DD43F2"/>
    <w:rsid w:val="00DD5819"/>
    <w:rsid w:val="00DD5929"/>
    <w:rsid w:val="00DD6611"/>
    <w:rsid w:val="00DE004F"/>
    <w:rsid w:val="00DE178C"/>
    <w:rsid w:val="00DE1885"/>
    <w:rsid w:val="00DE2BD8"/>
    <w:rsid w:val="00DE4795"/>
    <w:rsid w:val="00DE6292"/>
    <w:rsid w:val="00DE7585"/>
    <w:rsid w:val="00DF05B9"/>
    <w:rsid w:val="00DF2986"/>
    <w:rsid w:val="00DF3397"/>
    <w:rsid w:val="00DF342D"/>
    <w:rsid w:val="00DF5778"/>
    <w:rsid w:val="00DF6703"/>
    <w:rsid w:val="00DF67F7"/>
    <w:rsid w:val="00E025AC"/>
    <w:rsid w:val="00E04F9D"/>
    <w:rsid w:val="00E0731E"/>
    <w:rsid w:val="00E141BC"/>
    <w:rsid w:val="00E16FDF"/>
    <w:rsid w:val="00E17812"/>
    <w:rsid w:val="00E2012A"/>
    <w:rsid w:val="00E20972"/>
    <w:rsid w:val="00E21904"/>
    <w:rsid w:val="00E22649"/>
    <w:rsid w:val="00E22671"/>
    <w:rsid w:val="00E238B4"/>
    <w:rsid w:val="00E26C0C"/>
    <w:rsid w:val="00E302CD"/>
    <w:rsid w:val="00E31ECF"/>
    <w:rsid w:val="00E326B7"/>
    <w:rsid w:val="00E33FDB"/>
    <w:rsid w:val="00E34F6E"/>
    <w:rsid w:val="00E37D8A"/>
    <w:rsid w:val="00E37FC4"/>
    <w:rsid w:val="00E40CCA"/>
    <w:rsid w:val="00E44F98"/>
    <w:rsid w:val="00E46754"/>
    <w:rsid w:val="00E46DA8"/>
    <w:rsid w:val="00E47195"/>
    <w:rsid w:val="00E50447"/>
    <w:rsid w:val="00E53395"/>
    <w:rsid w:val="00E56FDA"/>
    <w:rsid w:val="00E57A54"/>
    <w:rsid w:val="00E71688"/>
    <w:rsid w:val="00E71A1D"/>
    <w:rsid w:val="00E71BA4"/>
    <w:rsid w:val="00E724FD"/>
    <w:rsid w:val="00E7280E"/>
    <w:rsid w:val="00E800FE"/>
    <w:rsid w:val="00E80F8F"/>
    <w:rsid w:val="00E810DB"/>
    <w:rsid w:val="00E822E2"/>
    <w:rsid w:val="00E879B9"/>
    <w:rsid w:val="00E87EC1"/>
    <w:rsid w:val="00E919DE"/>
    <w:rsid w:val="00E93F76"/>
    <w:rsid w:val="00E9694B"/>
    <w:rsid w:val="00E975DF"/>
    <w:rsid w:val="00E97791"/>
    <w:rsid w:val="00E97DE1"/>
    <w:rsid w:val="00EA186C"/>
    <w:rsid w:val="00EA4EE2"/>
    <w:rsid w:val="00EA513E"/>
    <w:rsid w:val="00EA6CDE"/>
    <w:rsid w:val="00EB0886"/>
    <w:rsid w:val="00EB1429"/>
    <w:rsid w:val="00EB454D"/>
    <w:rsid w:val="00EB4F4E"/>
    <w:rsid w:val="00EB5F4F"/>
    <w:rsid w:val="00EB79A8"/>
    <w:rsid w:val="00EB7BA1"/>
    <w:rsid w:val="00EC02EE"/>
    <w:rsid w:val="00EC6B41"/>
    <w:rsid w:val="00ED0FAF"/>
    <w:rsid w:val="00ED26D6"/>
    <w:rsid w:val="00ED3639"/>
    <w:rsid w:val="00ED3EB0"/>
    <w:rsid w:val="00ED7FE4"/>
    <w:rsid w:val="00EE20F0"/>
    <w:rsid w:val="00EE3F68"/>
    <w:rsid w:val="00EE46A0"/>
    <w:rsid w:val="00EE47F3"/>
    <w:rsid w:val="00EE49B9"/>
    <w:rsid w:val="00EE49EB"/>
    <w:rsid w:val="00EE6163"/>
    <w:rsid w:val="00EF5715"/>
    <w:rsid w:val="00F01ACE"/>
    <w:rsid w:val="00F033B9"/>
    <w:rsid w:val="00F03E45"/>
    <w:rsid w:val="00F04A33"/>
    <w:rsid w:val="00F060E9"/>
    <w:rsid w:val="00F0719B"/>
    <w:rsid w:val="00F1008D"/>
    <w:rsid w:val="00F11CB8"/>
    <w:rsid w:val="00F1203B"/>
    <w:rsid w:val="00F12F1F"/>
    <w:rsid w:val="00F15226"/>
    <w:rsid w:val="00F15BE1"/>
    <w:rsid w:val="00F167AA"/>
    <w:rsid w:val="00F20E80"/>
    <w:rsid w:val="00F21D39"/>
    <w:rsid w:val="00F228EE"/>
    <w:rsid w:val="00F23AEC"/>
    <w:rsid w:val="00F24FC3"/>
    <w:rsid w:val="00F2589C"/>
    <w:rsid w:val="00F31417"/>
    <w:rsid w:val="00F335E3"/>
    <w:rsid w:val="00F33C95"/>
    <w:rsid w:val="00F3442A"/>
    <w:rsid w:val="00F34A68"/>
    <w:rsid w:val="00F34F45"/>
    <w:rsid w:val="00F36723"/>
    <w:rsid w:val="00F36DC9"/>
    <w:rsid w:val="00F37A38"/>
    <w:rsid w:val="00F37C68"/>
    <w:rsid w:val="00F412B4"/>
    <w:rsid w:val="00F44903"/>
    <w:rsid w:val="00F45214"/>
    <w:rsid w:val="00F465E7"/>
    <w:rsid w:val="00F51FBD"/>
    <w:rsid w:val="00F525AB"/>
    <w:rsid w:val="00F5321A"/>
    <w:rsid w:val="00F54CAD"/>
    <w:rsid w:val="00F55656"/>
    <w:rsid w:val="00F61633"/>
    <w:rsid w:val="00F632C1"/>
    <w:rsid w:val="00F63A0E"/>
    <w:rsid w:val="00F658F9"/>
    <w:rsid w:val="00F66171"/>
    <w:rsid w:val="00F672DA"/>
    <w:rsid w:val="00F73AE1"/>
    <w:rsid w:val="00F74BC3"/>
    <w:rsid w:val="00F74F5B"/>
    <w:rsid w:val="00F76D12"/>
    <w:rsid w:val="00F77263"/>
    <w:rsid w:val="00F80170"/>
    <w:rsid w:val="00F80A9D"/>
    <w:rsid w:val="00F81AE8"/>
    <w:rsid w:val="00F82C97"/>
    <w:rsid w:val="00F832E1"/>
    <w:rsid w:val="00F84DAC"/>
    <w:rsid w:val="00F85703"/>
    <w:rsid w:val="00F9018A"/>
    <w:rsid w:val="00F90A69"/>
    <w:rsid w:val="00F915EE"/>
    <w:rsid w:val="00F91AC8"/>
    <w:rsid w:val="00F92394"/>
    <w:rsid w:val="00F92483"/>
    <w:rsid w:val="00F94B2F"/>
    <w:rsid w:val="00F95A60"/>
    <w:rsid w:val="00F95E30"/>
    <w:rsid w:val="00F96523"/>
    <w:rsid w:val="00FA3D93"/>
    <w:rsid w:val="00FA58AB"/>
    <w:rsid w:val="00FA70BB"/>
    <w:rsid w:val="00FB1F6B"/>
    <w:rsid w:val="00FB21C1"/>
    <w:rsid w:val="00FB3A19"/>
    <w:rsid w:val="00FB4640"/>
    <w:rsid w:val="00FB5853"/>
    <w:rsid w:val="00FC1069"/>
    <w:rsid w:val="00FC234C"/>
    <w:rsid w:val="00FC392A"/>
    <w:rsid w:val="00FC3F2C"/>
    <w:rsid w:val="00FC41C9"/>
    <w:rsid w:val="00FC4F0B"/>
    <w:rsid w:val="00FC5B38"/>
    <w:rsid w:val="00FC6B07"/>
    <w:rsid w:val="00FD0210"/>
    <w:rsid w:val="00FD3F61"/>
    <w:rsid w:val="00FD4301"/>
    <w:rsid w:val="00FD499D"/>
    <w:rsid w:val="00FD4ED9"/>
    <w:rsid w:val="00FE1914"/>
    <w:rsid w:val="00FE2FF4"/>
    <w:rsid w:val="00FE3954"/>
    <w:rsid w:val="00FE537E"/>
    <w:rsid w:val="00FE576B"/>
    <w:rsid w:val="00FE5BB6"/>
    <w:rsid w:val="00FF2B3B"/>
    <w:rsid w:val="00FF2E6C"/>
    <w:rsid w:val="00FF2FEE"/>
    <w:rsid w:val="00FF376F"/>
    <w:rsid w:val="00FF3AA7"/>
    <w:rsid w:val="00FF4486"/>
    <w:rsid w:val="00FF4896"/>
    <w:rsid w:val="00FF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8AE1E4-DC89-4B6E-8AFC-CD9DC09F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D8"/>
    <w:rPr>
      <w:rFonts w:ascii="Arial" w:hAnsi="Arial"/>
      <w:sz w:val="24"/>
    </w:rPr>
  </w:style>
  <w:style w:type="paragraph" w:styleId="Heading2">
    <w:name w:val="heading 2"/>
    <w:basedOn w:val="Normal"/>
    <w:next w:val="Normal"/>
    <w:link w:val="Heading2Char"/>
    <w:uiPriority w:val="9"/>
    <w:semiHidden/>
    <w:unhideWhenUsed/>
    <w:qFormat/>
    <w:locked/>
    <w:rsid w:val="0077384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locked/>
    <w:rsid w:val="0077384F"/>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C17CD8"/>
    <w:pPr>
      <w:keepNext/>
      <w:outlineLvl w:val="5"/>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7384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77384F"/>
    <w:rPr>
      <w:rFonts w:ascii="Cambria" w:hAnsi="Cambria" w:cs="Times New Roman"/>
      <w:b/>
      <w:bCs/>
      <w:color w:val="4F81BD"/>
      <w:sz w:val="20"/>
      <w:szCs w:val="20"/>
    </w:rPr>
  </w:style>
  <w:style w:type="character" w:customStyle="1" w:styleId="Heading6Char">
    <w:name w:val="Heading 6 Char"/>
    <w:basedOn w:val="DefaultParagraphFont"/>
    <w:link w:val="Heading6"/>
    <w:uiPriority w:val="99"/>
    <w:semiHidden/>
    <w:locked/>
    <w:rsid w:val="00A70443"/>
    <w:rPr>
      <w:rFonts w:ascii="Calibri" w:hAnsi="Calibri" w:cs="Times New Roman"/>
      <w:b/>
      <w:bCs/>
    </w:rPr>
  </w:style>
  <w:style w:type="paragraph" w:styleId="Header">
    <w:name w:val="header"/>
    <w:basedOn w:val="Normal"/>
    <w:link w:val="HeaderChar"/>
    <w:uiPriority w:val="99"/>
    <w:rsid w:val="00C17CD8"/>
    <w:rPr>
      <w:rFonts w:ascii="Universal" w:hAnsi="Universal"/>
    </w:rPr>
  </w:style>
  <w:style w:type="character" w:customStyle="1" w:styleId="HeaderChar">
    <w:name w:val="Header Char"/>
    <w:basedOn w:val="DefaultParagraphFont"/>
    <w:link w:val="Header"/>
    <w:uiPriority w:val="99"/>
    <w:locked/>
    <w:rsid w:val="00A70443"/>
    <w:rPr>
      <w:rFonts w:ascii="Arial" w:hAnsi="Arial" w:cs="Times New Roman"/>
      <w:sz w:val="20"/>
      <w:szCs w:val="20"/>
    </w:rPr>
  </w:style>
  <w:style w:type="paragraph" w:styleId="Footer">
    <w:name w:val="footer"/>
    <w:basedOn w:val="Normal"/>
    <w:link w:val="FooterChar"/>
    <w:uiPriority w:val="99"/>
    <w:rsid w:val="00C17CD8"/>
    <w:pPr>
      <w:tabs>
        <w:tab w:val="center" w:pos="4153"/>
        <w:tab w:val="right" w:pos="8306"/>
      </w:tabs>
    </w:pPr>
  </w:style>
  <w:style w:type="character" w:customStyle="1" w:styleId="FooterChar">
    <w:name w:val="Footer Char"/>
    <w:basedOn w:val="DefaultParagraphFont"/>
    <w:link w:val="Footer"/>
    <w:uiPriority w:val="99"/>
    <w:semiHidden/>
    <w:locked/>
    <w:rsid w:val="00A70443"/>
    <w:rPr>
      <w:rFonts w:ascii="Arial" w:hAnsi="Arial" w:cs="Times New Roman"/>
      <w:sz w:val="20"/>
      <w:szCs w:val="20"/>
    </w:rPr>
  </w:style>
  <w:style w:type="character" w:styleId="PageNumber">
    <w:name w:val="page number"/>
    <w:basedOn w:val="DefaultParagraphFont"/>
    <w:uiPriority w:val="99"/>
    <w:rsid w:val="00C17CD8"/>
    <w:rPr>
      <w:rFonts w:cs="Times New Roman"/>
    </w:rPr>
  </w:style>
  <w:style w:type="paragraph" w:styleId="PlainText">
    <w:name w:val="Plain Text"/>
    <w:basedOn w:val="Normal"/>
    <w:link w:val="PlainTextChar"/>
    <w:uiPriority w:val="99"/>
    <w:semiHidden/>
    <w:rsid w:val="00C17CD8"/>
    <w:rPr>
      <w:rFonts w:ascii="Consolas" w:hAnsi="Consolas"/>
      <w:sz w:val="21"/>
      <w:szCs w:val="21"/>
    </w:rPr>
  </w:style>
  <w:style w:type="character" w:customStyle="1" w:styleId="PlainTextChar">
    <w:name w:val="Plain Text Char"/>
    <w:basedOn w:val="DefaultParagraphFont"/>
    <w:link w:val="PlainText"/>
    <w:uiPriority w:val="99"/>
    <w:semiHidden/>
    <w:locked/>
    <w:rsid w:val="00C17CD8"/>
    <w:rPr>
      <w:rFonts w:ascii="Consolas" w:hAnsi="Consolas" w:cs="Times New Roman"/>
      <w:sz w:val="21"/>
      <w:szCs w:val="21"/>
      <w:lang w:val="en-GB" w:eastAsia="en-GB" w:bidi="ar-SA"/>
    </w:rPr>
  </w:style>
  <w:style w:type="paragraph" w:styleId="BalloonText">
    <w:name w:val="Balloon Text"/>
    <w:basedOn w:val="Normal"/>
    <w:link w:val="BalloonTextChar"/>
    <w:uiPriority w:val="99"/>
    <w:semiHidden/>
    <w:rsid w:val="00F55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443"/>
    <w:rPr>
      <w:rFonts w:cs="Times New Roman"/>
      <w:sz w:val="2"/>
    </w:rPr>
  </w:style>
  <w:style w:type="character" w:styleId="CommentReference">
    <w:name w:val="annotation reference"/>
    <w:basedOn w:val="DefaultParagraphFont"/>
    <w:uiPriority w:val="99"/>
    <w:semiHidden/>
    <w:rsid w:val="00D46C89"/>
    <w:rPr>
      <w:rFonts w:cs="Times New Roman"/>
      <w:sz w:val="16"/>
      <w:szCs w:val="16"/>
    </w:rPr>
  </w:style>
  <w:style w:type="paragraph" w:styleId="CommentText">
    <w:name w:val="annotation text"/>
    <w:basedOn w:val="Normal"/>
    <w:link w:val="CommentTextChar"/>
    <w:uiPriority w:val="99"/>
    <w:semiHidden/>
    <w:rsid w:val="00D46C89"/>
    <w:rPr>
      <w:sz w:val="20"/>
    </w:rPr>
  </w:style>
  <w:style w:type="character" w:customStyle="1" w:styleId="CommentTextChar">
    <w:name w:val="Comment Text Char"/>
    <w:basedOn w:val="DefaultParagraphFont"/>
    <w:link w:val="CommentText"/>
    <w:uiPriority w:val="99"/>
    <w:semiHidden/>
    <w:locked/>
    <w:rsid w:val="00A704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46C89"/>
    <w:rPr>
      <w:b/>
      <w:bCs/>
    </w:rPr>
  </w:style>
  <w:style w:type="character" w:customStyle="1" w:styleId="CommentSubjectChar">
    <w:name w:val="Comment Subject Char"/>
    <w:basedOn w:val="CommentTextChar"/>
    <w:link w:val="CommentSubject"/>
    <w:uiPriority w:val="99"/>
    <w:semiHidden/>
    <w:locked/>
    <w:rsid w:val="00A70443"/>
    <w:rPr>
      <w:rFonts w:ascii="Arial" w:hAnsi="Arial" w:cs="Times New Roman"/>
      <w:b/>
      <w:bCs/>
      <w:sz w:val="20"/>
      <w:szCs w:val="20"/>
    </w:rPr>
  </w:style>
  <w:style w:type="table" w:styleId="TableGrid">
    <w:name w:val="Table Grid"/>
    <w:basedOn w:val="TableNormal"/>
    <w:uiPriority w:val="59"/>
    <w:rsid w:val="0027412A"/>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6DA8"/>
    <w:pPr>
      <w:spacing w:after="200" w:line="276" w:lineRule="auto"/>
      <w:ind w:left="720"/>
      <w:contextualSpacing/>
    </w:pPr>
    <w:rPr>
      <w:szCs w:val="22"/>
      <w:lang w:eastAsia="en-US"/>
    </w:rPr>
  </w:style>
  <w:style w:type="table" w:styleId="LightShading-Accent2">
    <w:name w:val="Light Shading Accent 2"/>
    <w:basedOn w:val="TableNormal"/>
    <w:uiPriority w:val="60"/>
    <w:rsid w:val="00DF6703"/>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Hyperlink">
    <w:name w:val="Hyperlink"/>
    <w:basedOn w:val="DefaultParagraphFont"/>
    <w:uiPriority w:val="99"/>
    <w:unhideWhenUsed/>
    <w:rsid w:val="00FE5BB6"/>
    <w:rPr>
      <w:rFonts w:cs="Times New Roman"/>
      <w:color w:val="0000FF"/>
      <w:u w:val="single"/>
    </w:rPr>
  </w:style>
  <w:style w:type="character" w:styleId="FollowedHyperlink">
    <w:name w:val="FollowedHyperlink"/>
    <w:basedOn w:val="DefaultParagraphFont"/>
    <w:uiPriority w:val="99"/>
    <w:semiHidden/>
    <w:unhideWhenUsed/>
    <w:rsid w:val="003D64C1"/>
    <w:rPr>
      <w:rFonts w:cs="Times New Roman"/>
      <w:color w:val="800080"/>
      <w:u w:val="single"/>
    </w:rPr>
  </w:style>
  <w:style w:type="paragraph" w:styleId="Revision">
    <w:name w:val="Revision"/>
    <w:hidden/>
    <w:uiPriority w:val="99"/>
    <w:semiHidden/>
    <w:rsid w:val="00AD6830"/>
    <w:rPr>
      <w:rFonts w:ascii="Arial" w:hAnsi="Arial"/>
      <w:sz w:val="24"/>
    </w:rPr>
  </w:style>
  <w:style w:type="table" w:customStyle="1" w:styleId="TableGrid1">
    <w:name w:val="Table Grid1"/>
    <w:basedOn w:val="TableNormal"/>
    <w:next w:val="TableGrid"/>
    <w:uiPriority w:val="59"/>
    <w:rsid w:val="00F0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0C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152D50"/>
    <w:pPr>
      <w:spacing w:after="135" w:line="270" w:lineRule="atLeast"/>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79129">
      <w:marLeft w:val="0"/>
      <w:marRight w:val="0"/>
      <w:marTop w:val="0"/>
      <w:marBottom w:val="0"/>
      <w:divBdr>
        <w:top w:val="none" w:sz="0" w:space="0" w:color="auto"/>
        <w:left w:val="none" w:sz="0" w:space="0" w:color="auto"/>
        <w:bottom w:val="none" w:sz="0" w:space="0" w:color="auto"/>
        <w:right w:val="none" w:sz="0" w:space="0" w:color="auto"/>
      </w:divBdr>
    </w:div>
    <w:div w:id="954679130">
      <w:marLeft w:val="0"/>
      <w:marRight w:val="0"/>
      <w:marTop w:val="0"/>
      <w:marBottom w:val="0"/>
      <w:divBdr>
        <w:top w:val="none" w:sz="0" w:space="0" w:color="auto"/>
        <w:left w:val="none" w:sz="0" w:space="0" w:color="auto"/>
        <w:bottom w:val="none" w:sz="0" w:space="0" w:color="auto"/>
        <w:right w:val="none" w:sz="0" w:space="0" w:color="auto"/>
      </w:divBdr>
    </w:div>
    <w:div w:id="954679131">
      <w:marLeft w:val="0"/>
      <w:marRight w:val="0"/>
      <w:marTop w:val="0"/>
      <w:marBottom w:val="0"/>
      <w:divBdr>
        <w:top w:val="none" w:sz="0" w:space="0" w:color="auto"/>
        <w:left w:val="none" w:sz="0" w:space="0" w:color="auto"/>
        <w:bottom w:val="none" w:sz="0" w:space="0" w:color="auto"/>
        <w:right w:val="none" w:sz="0" w:space="0" w:color="auto"/>
      </w:divBdr>
    </w:div>
    <w:div w:id="954679132">
      <w:marLeft w:val="0"/>
      <w:marRight w:val="0"/>
      <w:marTop w:val="0"/>
      <w:marBottom w:val="0"/>
      <w:divBdr>
        <w:top w:val="none" w:sz="0" w:space="0" w:color="auto"/>
        <w:left w:val="none" w:sz="0" w:space="0" w:color="auto"/>
        <w:bottom w:val="none" w:sz="0" w:space="0" w:color="auto"/>
        <w:right w:val="none" w:sz="0" w:space="0" w:color="auto"/>
      </w:divBdr>
    </w:div>
    <w:div w:id="954679133">
      <w:marLeft w:val="0"/>
      <w:marRight w:val="0"/>
      <w:marTop w:val="0"/>
      <w:marBottom w:val="0"/>
      <w:divBdr>
        <w:top w:val="none" w:sz="0" w:space="0" w:color="auto"/>
        <w:left w:val="none" w:sz="0" w:space="0" w:color="auto"/>
        <w:bottom w:val="none" w:sz="0" w:space="0" w:color="auto"/>
        <w:right w:val="none" w:sz="0" w:space="0" w:color="auto"/>
      </w:divBdr>
    </w:div>
    <w:div w:id="954679134">
      <w:marLeft w:val="0"/>
      <w:marRight w:val="0"/>
      <w:marTop w:val="0"/>
      <w:marBottom w:val="0"/>
      <w:divBdr>
        <w:top w:val="none" w:sz="0" w:space="0" w:color="auto"/>
        <w:left w:val="none" w:sz="0" w:space="0" w:color="auto"/>
        <w:bottom w:val="none" w:sz="0" w:space="0" w:color="auto"/>
        <w:right w:val="none" w:sz="0" w:space="0" w:color="auto"/>
      </w:divBdr>
    </w:div>
    <w:div w:id="954679135">
      <w:marLeft w:val="0"/>
      <w:marRight w:val="0"/>
      <w:marTop w:val="0"/>
      <w:marBottom w:val="0"/>
      <w:divBdr>
        <w:top w:val="none" w:sz="0" w:space="0" w:color="auto"/>
        <w:left w:val="none" w:sz="0" w:space="0" w:color="auto"/>
        <w:bottom w:val="none" w:sz="0" w:space="0" w:color="auto"/>
        <w:right w:val="none" w:sz="0" w:space="0" w:color="auto"/>
      </w:divBdr>
    </w:div>
    <w:div w:id="954679136">
      <w:marLeft w:val="0"/>
      <w:marRight w:val="0"/>
      <w:marTop w:val="0"/>
      <w:marBottom w:val="0"/>
      <w:divBdr>
        <w:top w:val="none" w:sz="0" w:space="0" w:color="auto"/>
        <w:left w:val="none" w:sz="0" w:space="0" w:color="auto"/>
        <w:bottom w:val="none" w:sz="0" w:space="0" w:color="auto"/>
        <w:right w:val="none" w:sz="0" w:space="0" w:color="auto"/>
      </w:divBdr>
    </w:div>
    <w:div w:id="954679137">
      <w:marLeft w:val="0"/>
      <w:marRight w:val="0"/>
      <w:marTop w:val="0"/>
      <w:marBottom w:val="0"/>
      <w:divBdr>
        <w:top w:val="none" w:sz="0" w:space="0" w:color="auto"/>
        <w:left w:val="none" w:sz="0" w:space="0" w:color="auto"/>
        <w:bottom w:val="none" w:sz="0" w:space="0" w:color="auto"/>
        <w:right w:val="none" w:sz="0" w:space="0" w:color="auto"/>
      </w:divBdr>
    </w:div>
    <w:div w:id="954679138">
      <w:marLeft w:val="0"/>
      <w:marRight w:val="0"/>
      <w:marTop w:val="0"/>
      <w:marBottom w:val="0"/>
      <w:divBdr>
        <w:top w:val="none" w:sz="0" w:space="0" w:color="auto"/>
        <w:left w:val="none" w:sz="0" w:space="0" w:color="auto"/>
        <w:bottom w:val="none" w:sz="0" w:space="0" w:color="auto"/>
        <w:right w:val="none" w:sz="0" w:space="0" w:color="auto"/>
      </w:divBdr>
    </w:div>
    <w:div w:id="954679139">
      <w:marLeft w:val="0"/>
      <w:marRight w:val="0"/>
      <w:marTop w:val="0"/>
      <w:marBottom w:val="0"/>
      <w:divBdr>
        <w:top w:val="none" w:sz="0" w:space="0" w:color="auto"/>
        <w:left w:val="none" w:sz="0" w:space="0" w:color="auto"/>
        <w:bottom w:val="none" w:sz="0" w:space="0" w:color="auto"/>
        <w:right w:val="none" w:sz="0" w:space="0" w:color="auto"/>
      </w:divBdr>
    </w:div>
    <w:div w:id="954679140">
      <w:marLeft w:val="0"/>
      <w:marRight w:val="0"/>
      <w:marTop w:val="0"/>
      <w:marBottom w:val="0"/>
      <w:divBdr>
        <w:top w:val="none" w:sz="0" w:space="0" w:color="auto"/>
        <w:left w:val="none" w:sz="0" w:space="0" w:color="auto"/>
        <w:bottom w:val="none" w:sz="0" w:space="0" w:color="auto"/>
        <w:right w:val="none" w:sz="0" w:space="0" w:color="auto"/>
      </w:divBdr>
    </w:div>
    <w:div w:id="954679141">
      <w:marLeft w:val="0"/>
      <w:marRight w:val="0"/>
      <w:marTop w:val="0"/>
      <w:marBottom w:val="0"/>
      <w:divBdr>
        <w:top w:val="none" w:sz="0" w:space="0" w:color="auto"/>
        <w:left w:val="none" w:sz="0" w:space="0" w:color="auto"/>
        <w:bottom w:val="none" w:sz="0" w:space="0" w:color="auto"/>
        <w:right w:val="none" w:sz="0" w:space="0" w:color="auto"/>
      </w:divBdr>
    </w:div>
    <w:div w:id="954679142">
      <w:marLeft w:val="0"/>
      <w:marRight w:val="0"/>
      <w:marTop w:val="0"/>
      <w:marBottom w:val="0"/>
      <w:divBdr>
        <w:top w:val="none" w:sz="0" w:space="0" w:color="auto"/>
        <w:left w:val="none" w:sz="0" w:space="0" w:color="auto"/>
        <w:bottom w:val="none" w:sz="0" w:space="0" w:color="auto"/>
        <w:right w:val="none" w:sz="0" w:space="0" w:color="auto"/>
      </w:divBdr>
    </w:div>
    <w:div w:id="954679143">
      <w:marLeft w:val="0"/>
      <w:marRight w:val="0"/>
      <w:marTop w:val="0"/>
      <w:marBottom w:val="0"/>
      <w:divBdr>
        <w:top w:val="none" w:sz="0" w:space="0" w:color="auto"/>
        <w:left w:val="none" w:sz="0" w:space="0" w:color="auto"/>
        <w:bottom w:val="none" w:sz="0" w:space="0" w:color="auto"/>
        <w:right w:val="none" w:sz="0" w:space="0" w:color="auto"/>
      </w:divBdr>
    </w:div>
    <w:div w:id="954679144">
      <w:marLeft w:val="0"/>
      <w:marRight w:val="0"/>
      <w:marTop w:val="0"/>
      <w:marBottom w:val="0"/>
      <w:divBdr>
        <w:top w:val="none" w:sz="0" w:space="0" w:color="auto"/>
        <w:left w:val="none" w:sz="0" w:space="0" w:color="auto"/>
        <w:bottom w:val="none" w:sz="0" w:space="0" w:color="auto"/>
        <w:right w:val="none" w:sz="0" w:space="0" w:color="auto"/>
      </w:divBdr>
    </w:div>
    <w:div w:id="954679145">
      <w:marLeft w:val="0"/>
      <w:marRight w:val="0"/>
      <w:marTop w:val="0"/>
      <w:marBottom w:val="0"/>
      <w:divBdr>
        <w:top w:val="none" w:sz="0" w:space="0" w:color="auto"/>
        <w:left w:val="none" w:sz="0" w:space="0" w:color="auto"/>
        <w:bottom w:val="none" w:sz="0" w:space="0" w:color="auto"/>
        <w:right w:val="none" w:sz="0" w:space="0" w:color="auto"/>
      </w:divBdr>
    </w:div>
    <w:div w:id="954679146">
      <w:marLeft w:val="0"/>
      <w:marRight w:val="0"/>
      <w:marTop w:val="0"/>
      <w:marBottom w:val="0"/>
      <w:divBdr>
        <w:top w:val="none" w:sz="0" w:space="0" w:color="auto"/>
        <w:left w:val="none" w:sz="0" w:space="0" w:color="auto"/>
        <w:bottom w:val="none" w:sz="0" w:space="0" w:color="auto"/>
        <w:right w:val="none" w:sz="0" w:space="0" w:color="auto"/>
      </w:divBdr>
    </w:div>
    <w:div w:id="954679147">
      <w:marLeft w:val="0"/>
      <w:marRight w:val="0"/>
      <w:marTop w:val="0"/>
      <w:marBottom w:val="0"/>
      <w:divBdr>
        <w:top w:val="none" w:sz="0" w:space="0" w:color="auto"/>
        <w:left w:val="none" w:sz="0" w:space="0" w:color="auto"/>
        <w:bottom w:val="none" w:sz="0" w:space="0" w:color="auto"/>
        <w:right w:val="none" w:sz="0" w:space="0" w:color="auto"/>
      </w:divBdr>
    </w:div>
    <w:div w:id="954679148">
      <w:marLeft w:val="0"/>
      <w:marRight w:val="0"/>
      <w:marTop w:val="0"/>
      <w:marBottom w:val="0"/>
      <w:divBdr>
        <w:top w:val="none" w:sz="0" w:space="0" w:color="auto"/>
        <w:left w:val="none" w:sz="0" w:space="0" w:color="auto"/>
        <w:bottom w:val="none" w:sz="0" w:space="0" w:color="auto"/>
        <w:right w:val="none" w:sz="0" w:space="0" w:color="auto"/>
      </w:divBdr>
    </w:div>
    <w:div w:id="954679149">
      <w:marLeft w:val="0"/>
      <w:marRight w:val="0"/>
      <w:marTop w:val="0"/>
      <w:marBottom w:val="0"/>
      <w:divBdr>
        <w:top w:val="none" w:sz="0" w:space="0" w:color="auto"/>
        <w:left w:val="none" w:sz="0" w:space="0" w:color="auto"/>
        <w:bottom w:val="none" w:sz="0" w:space="0" w:color="auto"/>
        <w:right w:val="none" w:sz="0" w:space="0" w:color="auto"/>
      </w:divBdr>
    </w:div>
    <w:div w:id="954679150">
      <w:marLeft w:val="0"/>
      <w:marRight w:val="0"/>
      <w:marTop w:val="0"/>
      <w:marBottom w:val="0"/>
      <w:divBdr>
        <w:top w:val="none" w:sz="0" w:space="0" w:color="auto"/>
        <w:left w:val="none" w:sz="0" w:space="0" w:color="auto"/>
        <w:bottom w:val="none" w:sz="0" w:space="0" w:color="auto"/>
        <w:right w:val="none" w:sz="0" w:space="0" w:color="auto"/>
      </w:divBdr>
    </w:div>
    <w:div w:id="954679151">
      <w:marLeft w:val="0"/>
      <w:marRight w:val="0"/>
      <w:marTop w:val="0"/>
      <w:marBottom w:val="0"/>
      <w:divBdr>
        <w:top w:val="none" w:sz="0" w:space="0" w:color="auto"/>
        <w:left w:val="none" w:sz="0" w:space="0" w:color="auto"/>
        <w:bottom w:val="none" w:sz="0" w:space="0" w:color="auto"/>
        <w:right w:val="none" w:sz="0" w:space="0" w:color="auto"/>
      </w:divBdr>
    </w:div>
    <w:div w:id="954679152">
      <w:marLeft w:val="0"/>
      <w:marRight w:val="0"/>
      <w:marTop w:val="0"/>
      <w:marBottom w:val="0"/>
      <w:divBdr>
        <w:top w:val="none" w:sz="0" w:space="0" w:color="auto"/>
        <w:left w:val="none" w:sz="0" w:space="0" w:color="auto"/>
        <w:bottom w:val="none" w:sz="0" w:space="0" w:color="auto"/>
        <w:right w:val="none" w:sz="0" w:space="0" w:color="auto"/>
      </w:divBdr>
    </w:div>
    <w:div w:id="954679153">
      <w:marLeft w:val="0"/>
      <w:marRight w:val="0"/>
      <w:marTop w:val="0"/>
      <w:marBottom w:val="0"/>
      <w:divBdr>
        <w:top w:val="none" w:sz="0" w:space="0" w:color="auto"/>
        <w:left w:val="none" w:sz="0" w:space="0" w:color="auto"/>
        <w:bottom w:val="none" w:sz="0" w:space="0" w:color="auto"/>
        <w:right w:val="none" w:sz="0" w:space="0" w:color="auto"/>
      </w:divBdr>
    </w:div>
    <w:div w:id="954679154">
      <w:marLeft w:val="0"/>
      <w:marRight w:val="0"/>
      <w:marTop w:val="0"/>
      <w:marBottom w:val="0"/>
      <w:divBdr>
        <w:top w:val="none" w:sz="0" w:space="0" w:color="auto"/>
        <w:left w:val="none" w:sz="0" w:space="0" w:color="auto"/>
        <w:bottom w:val="none" w:sz="0" w:space="0" w:color="auto"/>
        <w:right w:val="none" w:sz="0" w:space="0" w:color="auto"/>
      </w:divBdr>
    </w:div>
    <w:div w:id="954679155">
      <w:marLeft w:val="0"/>
      <w:marRight w:val="0"/>
      <w:marTop w:val="0"/>
      <w:marBottom w:val="0"/>
      <w:divBdr>
        <w:top w:val="none" w:sz="0" w:space="0" w:color="auto"/>
        <w:left w:val="none" w:sz="0" w:space="0" w:color="auto"/>
        <w:bottom w:val="none" w:sz="0" w:space="0" w:color="auto"/>
        <w:right w:val="none" w:sz="0" w:space="0" w:color="auto"/>
      </w:divBdr>
    </w:div>
    <w:div w:id="954679156">
      <w:marLeft w:val="0"/>
      <w:marRight w:val="0"/>
      <w:marTop w:val="0"/>
      <w:marBottom w:val="0"/>
      <w:divBdr>
        <w:top w:val="none" w:sz="0" w:space="0" w:color="auto"/>
        <w:left w:val="none" w:sz="0" w:space="0" w:color="auto"/>
        <w:bottom w:val="none" w:sz="0" w:space="0" w:color="auto"/>
        <w:right w:val="none" w:sz="0" w:space="0" w:color="auto"/>
      </w:divBdr>
    </w:div>
    <w:div w:id="954679157">
      <w:marLeft w:val="0"/>
      <w:marRight w:val="0"/>
      <w:marTop w:val="0"/>
      <w:marBottom w:val="0"/>
      <w:divBdr>
        <w:top w:val="none" w:sz="0" w:space="0" w:color="auto"/>
        <w:left w:val="none" w:sz="0" w:space="0" w:color="auto"/>
        <w:bottom w:val="none" w:sz="0" w:space="0" w:color="auto"/>
        <w:right w:val="none" w:sz="0" w:space="0" w:color="auto"/>
      </w:divBdr>
    </w:div>
    <w:div w:id="954679158">
      <w:marLeft w:val="0"/>
      <w:marRight w:val="0"/>
      <w:marTop w:val="0"/>
      <w:marBottom w:val="0"/>
      <w:divBdr>
        <w:top w:val="none" w:sz="0" w:space="0" w:color="auto"/>
        <w:left w:val="none" w:sz="0" w:space="0" w:color="auto"/>
        <w:bottom w:val="none" w:sz="0" w:space="0" w:color="auto"/>
        <w:right w:val="none" w:sz="0" w:space="0" w:color="auto"/>
      </w:divBdr>
    </w:div>
    <w:div w:id="954679159">
      <w:marLeft w:val="0"/>
      <w:marRight w:val="0"/>
      <w:marTop w:val="0"/>
      <w:marBottom w:val="0"/>
      <w:divBdr>
        <w:top w:val="none" w:sz="0" w:space="0" w:color="auto"/>
        <w:left w:val="none" w:sz="0" w:space="0" w:color="auto"/>
        <w:bottom w:val="none" w:sz="0" w:space="0" w:color="auto"/>
        <w:right w:val="none" w:sz="0" w:space="0" w:color="auto"/>
      </w:divBdr>
    </w:div>
    <w:div w:id="954679160">
      <w:marLeft w:val="0"/>
      <w:marRight w:val="0"/>
      <w:marTop w:val="0"/>
      <w:marBottom w:val="0"/>
      <w:divBdr>
        <w:top w:val="none" w:sz="0" w:space="0" w:color="auto"/>
        <w:left w:val="none" w:sz="0" w:space="0" w:color="auto"/>
        <w:bottom w:val="none" w:sz="0" w:space="0" w:color="auto"/>
        <w:right w:val="none" w:sz="0" w:space="0" w:color="auto"/>
      </w:divBdr>
    </w:div>
    <w:div w:id="954679161">
      <w:marLeft w:val="0"/>
      <w:marRight w:val="0"/>
      <w:marTop w:val="0"/>
      <w:marBottom w:val="0"/>
      <w:divBdr>
        <w:top w:val="none" w:sz="0" w:space="0" w:color="auto"/>
        <w:left w:val="none" w:sz="0" w:space="0" w:color="auto"/>
        <w:bottom w:val="none" w:sz="0" w:space="0" w:color="auto"/>
        <w:right w:val="none" w:sz="0" w:space="0" w:color="auto"/>
      </w:divBdr>
    </w:div>
    <w:div w:id="954679162">
      <w:marLeft w:val="0"/>
      <w:marRight w:val="0"/>
      <w:marTop w:val="0"/>
      <w:marBottom w:val="0"/>
      <w:divBdr>
        <w:top w:val="none" w:sz="0" w:space="0" w:color="auto"/>
        <w:left w:val="none" w:sz="0" w:space="0" w:color="auto"/>
        <w:bottom w:val="none" w:sz="0" w:space="0" w:color="auto"/>
        <w:right w:val="none" w:sz="0" w:space="0" w:color="auto"/>
      </w:divBdr>
    </w:div>
    <w:div w:id="954679163">
      <w:marLeft w:val="0"/>
      <w:marRight w:val="0"/>
      <w:marTop w:val="0"/>
      <w:marBottom w:val="0"/>
      <w:divBdr>
        <w:top w:val="none" w:sz="0" w:space="0" w:color="auto"/>
        <w:left w:val="none" w:sz="0" w:space="0" w:color="auto"/>
        <w:bottom w:val="none" w:sz="0" w:space="0" w:color="auto"/>
        <w:right w:val="none" w:sz="0" w:space="0" w:color="auto"/>
      </w:divBdr>
    </w:div>
    <w:div w:id="954679164">
      <w:marLeft w:val="0"/>
      <w:marRight w:val="0"/>
      <w:marTop w:val="0"/>
      <w:marBottom w:val="0"/>
      <w:divBdr>
        <w:top w:val="none" w:sz="0" w:space="0" w:color="auto"/>
        <w:left w:val="none" w:sz="0" w:space="0" w:color="auto"/>
        <w:bottom w:val="none" w:sz="0" w:space="0" w:color="auto"/>
        <w:right w:val="none" w:sz="0" w:space="0" w:color="auto"/>
      </w:divBdr>
    </w:div>
    <w:div w:id="954679165">
      <w:marLeft w:val="0"/>
      <w:marRight w:val="0"/>
      <w:marTop w:val="0"/>
      <w:marBottom w:val="0"/>
      <w:divBdr>
        <w:top w:val="none" w:sz="0" w:space="0" w:color="auto"/>
        <w:left w:val="none" w:sz="0" w:space="0" w:color="auto"/>
        <w:bottom w:val="none" w:sz="0" w:space="0" w:color="auto"/>
        <w:right w:val="none" w:sz="0" w:space="0" w:color="auto"/>
      </w:divBdr>
    </w:div>
    <w:div w:id="954679166">
      <w:marLeft w:val="0"/>
      <w:marRight w:val="0"/>
      <w:marTop w:val="0"/>
      <w:marBottom w:val="0"/>
      <w:divBdr>
        <w:top w:val="none" w:sz="0" w:space="0" w:color="auto"/>
        <w:left w:val="none" w:sz="0" w:space="0" w:color="auto"/>
        <w:bottom w:val="none" w:sz="0" w:space="0" w:color="auto"/>
        <w:right w:val="none" w:sz="0" w:space="0" w:color="auto"/>
      </w:divBdr>
    </w:div>
    <w:div w:id="954679167">
      <w:marLeft w:val="0"/>
      <w:marRight w:val="0"/>
      <w:marTop w:val="0"/>
      <w:marBottom w:val="0"/>
      <w:divBdr>
        <w:top w:val="none" w:sz="0" w:space="0" w:color="auto"/>
        <w:left w:val="none" w:sz="0" w:space="0" w:color="auto"/>
        <w:bottom w:val="none" w:sz="0" w:space="0" w:color="auto"/>
        <w:right w:val="none" w:sz="0" w:space="0" w:color="auto"/>
      </w:divBdr>
    </w:div>
    <w:div w:id="954679168">
      <w:marLeft w:val="0"/>
      <w:marRight w:val="0"/>
      <w:marTop w:val="0"/>
      <w:marBottom w:val="0"/>
      <w:divBdr>
        <w:top w:val="none" w:sz="0" w:space="0" w:color="auto"/>
        <w:left w:val="none" w:sz="0" w:space="0" w:color="auto"/>
        <w:bottom w:val="none" w:sz="0" w:space="0" w:color="auto"/>
        <w:right w:val="none" w:sz="0" w:space="0" w:color="auto"/>
      </w:divBdr>
    </w:div>
    <w:div w:id="954679169">
      <w:marLeft w:val="0"/>
      <w:marRight w:val="0"/>
      <w:marTop w:val="0"/>
      <w:marBottom w:val="0"/>
      <w:divBdr>
        <w:top w:val="none" w:sz="0" w:space="0" w:color="auto"/>
        <w:left w:val="none" w:sz="0" w:space="0" w:color="auto"/>
        <w:bottom w:val="none" w:sz="0" w:space="0" w:color="auto"/>
        <w:right w:val="none" w:sz="0" w:space="0" w:color="auto"/>
      </w:divBdr>
    </w:div>
    <w:div w:id="954679170">
      <w:marLeft w:val="0"/>
      <w:marRight w:val="0"/>
      <w:marTop w:val="0"/>
      <w:marBottom w:val="0"/>
      <w:divBdr>
        <w:top w:val="none" w:sz="0" w:space="0" w:color="auto"/>
        <w:left w:val="none" w:sz="0" w:space="0" w:color="auto"/>
        <w:bottom w:val="none" w:sz="0" w:space="0" w:color="auto"/>
        <w:right w:val="none" w:sz="0" w:space="0" w:color="auto"/>
      </w:divBdr>
    </w:div>
    <w:div w:id="954679171">
      <w:marLeft w:val="0"/>
      <w:marRight w:val="0"/>
      <w:marTop w:val="0"/>
      <w:marBottom w:val="0"/>
      <w:divBdr>
        <w:top w:val="none" w:sz="0" w:space="0" w:color="auto"/>
        <w:left w:val="none" w:sz="0" w:space="0" w:color="auto"/>
        <w:bottom w:val="none" w:sz="0" w:space="0" w:color="auto"/>
        <w:right w:val="none" w:sz="0" w:space="0" w:color="auto"/>
      </w:divBdr>
    </w:div>
    <w:div w:id="954679172">
      <w:marLeft w:val="0"/>
      <w:marRight w:val="0"/>
      <w:marTop w:val="0"/>
      <w:marBottom w:val="0"/>
      <w:divBdr>
        <w:top w:val="none" w:sz="0" w:space="0" w:color="auto"/>
        <w:left w:val="none" w:sz="0" w:space="0" w:color="auto"/>
        <w:bottom w:val="none" w:sz="0" w:space="0" w:color="auto"/>
        <w:right w:val="none" w:sz="0" w:space="0" w:color="auto"/>
      </w:divBdr>
    </w:div>
    <w:div w:id="954679173">
      <w:marLeft w:val="0"/>
      <w:marRight w:val="0"/>
      <w:marTop w:val="0"/>
      <w:marBottom w:val="0"/>
      <w:divBdr>
        <w:top w:val="none" w:sz="0" w:space="0" w:color="auto"/>
        <w:left w:val="none" w:sz="0" w:space="0" w:color="auto"/>
        <w:bottom w:val="none" w:sz="0" w:space="0" w:color="auto"/>
        <w:right w:val="none" w:sz="0" w:space="0" w:color="auto"/>
      </w:divBdr>
    </w:div>
    <w:div w:id="954679174">
      <w:marLeft w:val="0"/>
      <w:marRight w:val="0"/>
      <w:marTop w:val="0"/>
      <w:marBottom w:val="0"/>
      <w:divBdr>
        <w:top w:val="none" w:sz="0" w:space="0" w:color="auto"/>
        <w:left w:val="none" w:sz="0" w:space="0" w:color="auto"/>
        <w:bottom w:val="none" w:sz="0" w:space="0" w:color="auto"/>
        <w:right w:val="none" w:sz="0" w:space="0" w:color="auto"/>
      </w:divBdr>
    </w:div>
    <w:div w:id="954679175">
      <w:marLeft w:val="0"/>
      <w:marRight w:val="0"/>
      <w:marTop w:val="0"/>
      <w:marBottom w:val="0"/>
      <w:divBdr>
        <w:top w:val="none" w:sz="0" w:space="0" w:color="auto"/>
        <w:left w:val="none" w:sz="0" w:space="0" w:color="auto"/>
        <w:bottom w:val="none" w:sz="0" w:space="0" w:color="auto"/>
        <w:right w:val="none" w:sz="0" w:space="0" w:color="auto"/>
      </w:divBdr>
    </w:div>
    <w:div w:id="954679176">
      <w:marLeft w:val="0"/>
      <w:marRight w:val="0"/>
      <w:marTop w:val="0"/>
      <w:marBottom w:val="0"/>
      <w:divBdr>
        <w:top w:val="none" w:sz="0" w:space="0" w:color="auto"/>
        <w:left w:val="none" w:sz="0" w:space="0" w:color="auto"/>
        <w:bottom w:val="none" w:sz="0" w:space="0" w:color="auto"/>
        <w:right w:val="none" w:sz="0" w:space="0" w:color="auto"/>
      </w:divBdr>
    </w:div>
    <w:div w:id="954679177">
      <w:marLeft w:val="0"/>
      <w:marRight w:val="0"/>
      <w:marTop w:val="0"/>
      <w:marBottom w:val="0"/>
      <w:divBdr>
        <w:top w:val="none" w:sz="0" w:space="0" w:color="auto"/>
        <w:left w:val="none" w:sz="0" w:space="0" w:color="auto"/>
        <w:bottom w:val="none" w:sz="0" w:space="0" w:color="auto"/>
        <w:right w:val="none" w:sz="0" w:space="0" w:color="auto"/>
      </w:divBdr>
    </w:div>
    <w:div w:id="954679178">
      <w:marLeft w:val="0"/>
      <w:marRight w:val="0"/>
      <w:marTop w:val="0"/>
      <w:marBottom w:val="0"/>
      <w:divBdr>
        <w:top w:val="none" w:sz="0" w:space="0" w:color="auto"/>
        <w:left w:val="none" w:sz="0" w:space="0" w:color="auto"/>
        <w:bottom w:val="none" w:sz="0" w:space="0" w:color="auto"/>
        <w:right w:val="none" w:sz="0" w:space="0" w:color="auto"/>
      </w:divBdr>
    </w:div>
    <w:div w:id="954679179">
      <w:marLeft w:val="0"/>
      <w:marRight w:val="0"/>
      <w:marTop w:val="0"/>
      <w:marBottom w:val="0"/>
      <w:divBdr>
        <w:top w:val="none" w:sz="0" w:space="0" w:color="auto"/>
        <w:left w:val="none" w:sz="0" w:space="0" w:color="auto"/>
        <w:bottom w:val="none" w:sz="0" w:space="0" w:color="auto"/>
        <w:right w:val="none" w:sz="0" w:space="0" w:color="auto"/>
      </w:divBdr>
    </w:div>
    <w:div w:id="954679180">
      <w:marLeft w:val="0"/>
      <w:marRight w:val="0"/>
      <w:marTop w:val="0"/>
      <w:marBottom w:val="0"/>
      <w:divBdr>
        <w:top w:val="none" w:sz="0" w:space="0" w:color="auto"/>
        <w:left w:val="none" w:sz="0" w:space="0" w:color="auto"/>
        <w:bottom w:val="none" w:sz="0" w:space="0" w:color="auto"/>
        <w:right w:val="none" w:sz="0" w:space="0" w:color="auto"/>
      </w:divBdr>
    </w:div>
    <w:div w:id="954679181">
      <w:marLeft w:val="0"/>
      <w:marRight w:val="0"/>
      <w:marTop w:val="0"/>
      <w:marBottom w:val="0"/>
      <w:divBdr>
        <w:top w:val="none" w:sz="0" w:space="0" w:color="auto"/>
        <w:left w:val="none" w:sz="0" w:space="0" w:color="auto"/>
        <w:bottom w:val="none" w:sz="0" w:space="0" w:color="auto"/>
        <w:right w:val="none" w:sz="0" w:space="0" w:color="auto"/>
      </w:divBdr>
    </w:div>
    <w:div w:id="954679182">
      <w:marLeft w:val="0"/>
      <w:marRight w:val="0"/>
      <w:marTop w:val="0"/>
      <w:marBottom w:val="0"/>
      <w:divBdr>
        <w:top w:val="none" w:sz="0" w:space="0" w:color="auto"/>
        <w:left w:val="none" w:sz="0" w:space="0" w:color="auto"/>
        <w:bottom w:val="none" w:sz="0" w:space="0" w:color="auto"/>
        <w:right w:val="none" w:sz="0" w:space="0" w:color="auto"/>
      </w:divBdr>
    </w:div>
    <w:div w:id="954679183">
      <w:marLeft w:val="0"/>
      <w:marRight w:val="0"/>
      <w:marTop w:val="0"/>
      <w:marBottom w:val="0"/>
      <w:divBdr>
        <w:top w:val="none" w:sz="0" w:space="0" w:color="auto"/>
        <w:left w:val="none" w:sz="0" w:space="0" w:color="auto"/>
        <w:bottom w:val="none" w:sz="0" w:space="0" w:color="auto"/>
        <w:right w:val="none" w:sz="0" w:space="0" w:color="auto"/>
      </w:divBdr>
    </w:div>
    <w:div w:id="954679184">
      <w:marLeft w:val="0"/>
      <w:marRight w:val="0"/>
      <w:marTop w:val="0"/>
      <w:marBottom w:val="0"/>
      <w:divBdr>
        <w:top w:val="none" w:sz="0" w:space="0" w:color="auto"/>
        <w:left w:val="none" w:sz="0" w:space="0" w:color="auto"/>
        <w:bottom w:val="none" w:sz="0" w:space="0" w:color="auto"/>
        <w:right w:val="none" w:sz="0" w:space="0" w:color="auto"/>
      </w:divBdr>
    </w:div>
    <w:div w:id="954679185">
      <w:marLeft w:val="0"/>
      <w:marRight w:val="0"/>
      <w:marTop w:val="0"/>
      <w:marBottom w:val="0"/>
      <w:divBdr>
        <w:top w:val="none" w:sz="0" w:space="0" w:color="auto"/>
        <w:left w:val="none" w:sz="0" w:space="0" w:color="auto"/>
        <w:bottom w:val="none" w:sz="0" w:space="0" w:color="auto"/>
        <w:right w:val="none" w:sz="0" w:space="0" w:color="auto"/>
      </w:divBdr>
    </w:div>
    <w:div w:id="954679186">
      <w:marLeft w:val="0"/>
      <w:marRight w:val="0"/>
      <w:marTop w:val="0"/>
      <w:marBottom w:val="0"/>
      <w:divBdr>
        <w:top w:val="none" w:sz="0" w:space="0" w:color="auto"/>
        <w:left w:val="none" w:sz="0" w:space="0" w:color="auto"/>
        <w:bottom w:val="none" w:sz="0" w:space="0" w:color="auto"/>
        <w:right w:val="none" w:sz="0" w:space="0" w:color="auto"/>
      </w:divBdr>
    </w:div>
    <w:div w:id="954679187">
      <w:marLeft w:val="0"/>
      <w:marRight w:val="0"/>
      <w:marTop w:val="0"/>
      <w:marBottom w:val="0"/>
      <w:divBdr>
        <w:top w:val="none" w:sz="0" w:space="0" w:color="auto"/>
        <w:left w:val="none" w:sz="0" w:space="0" w:color="auto"/>
        <w:bottom w:val="none" w:sz="0" w:space="0" w:color="auto"/>
        <w:right w:val="none" w:sz="0" w:space="0" w:color="auto"/>
      </w:divBdr>
    </w:div>
    <w:div w:id="954679188">
      <w:marLeft w:val="0"/>
      <w:marRight w:val="0"/>
      <w:marTop w:val="0"/>
      <w:marBottom w:val="0"/>
      <w:divBdr>
        <w:top w:val="none" w:sz="0" w:space="0" w:color="auto"/>
        <w:left w:val="none" w:sz="0" w:space="0" w:color="auto"/>
        <w:bottom w:val="none" w:sz="0" w:space="0" w:color="auto"/>
        <w:right w:val="none" w:sz="0" w:space="0" w:color="auto"/>
      </w:divBdr>
    </w:div>
    <w:div w:id="954679189">
      <w:marLeft w:val="0"/>
      <w:marRight w:val="0"/>
      <w:marTop w:val="0"/>
      <w:marBottom w:val="0"/>
      <w:divBdr>
        <w:top w:val="none" w:sz="0" w:space="0" w:color="auto"/>
        <w:left w:val="none" w:sz="0" w:space="0" w:color="auto"/>
        <w:bottom w:val="none" w:sz="0" w:space="0" w:color="auto"/>
        <w:right w:val="none" w:sz="0" w:space="0" w:color="auto"/>
      </w:divBdr>
    </w:div>
    <w:div w:id="954679190">
      <w:marLeft w:val="0"/>
      <w:marRight w:val="0"/>
      <w:marTop w:val="0"/>
      <w:marBottom w:val="0"/>
      <w:divBdr>
        <w:top w:val="none" w:sz="0" w:space="0" w:color="auto"/>
        <w:left w:val="none" w:sz="0" w:space="0" w:color="auto"/>
        <w:bottom w:val="none" w:sz="0" w:space="0" w:color="auto"/>
        <w:right w:val="none" w:sz="0" w:space="0" w:color="auto"/>
      </w:divBdr>
    </w:div>
    <w:div w:id="954679191">
      <w:marLeft w:val="0"/>
      <w:marRight w:val="0"/>
      <w:marTop w:val="0"/>
      <w:marBottom w:val="0"/>
      <w:divBdr>
        <w:top w:val="none" w:sz="0" w:space="0" w:color="auto"/>
        <w:left w:val="none" w:sz="0" w:space="0" w:color="auto"/>
        <w:bottom w:val="none" w:sz="0" w:space="0" w:color="auto"/>
        <w:right w:val="none" w:sz="0" w:space="0" w:color="auto"/>
      </w:divBdr>
    </w:div>
    <w:div w:id="954679192">
      <w:marLeft w:val="0"/>
      <w:marRight w:val="0"/>
      <w:marTop w:val="0"/>
      <w:marBottom w:val="0"/>
      <w:divBdr>
        <w:top w:val="none" w:sz="0" w:space="0" w:color="auto"/>
        <w:left w:val="none" w:sz="0" w:space="0" w:color="auto"/>
        <w:bottom w:val="none" w:sz="0" w:space="0" w:color="auto"/>
        <w:right w:val="none" w:sz="0" w:space="0" w:color="auto"/>
      </w:divBdr>
    </w:div>
    <w:div w:id="954679193">
      <w:marLeft w:val="0"/>
      <w:marRight w:val="0"/>
      <w:marTop w:val="0"/>
      <w:marBottom w:val="0"/>
      <w:divBdr>
        <w:top w:val="none" w:sz="0" w:space="0" w:color="auto"/>
        <w:left w:val="none" w:sz="0" w:space="0" w:color="auto"/>
        <w:bottom w:val="none" w:sz="0" w:space="0" w:color="auto"/>
        <w:right w:val="none" w:sz="0" w:space="0" w:color="auto"/>
      </w:divBdr>
    </w:div>
    <w:div w:id="954679194">
      <w:marLeft w:val="0"/>
      <w:marRight w:val="0"/>
      <w:marTop w:val="0"/>
      <w:marBottom w:val="0"/>
      <w:divBdr>
        <w:top w:val="none" w:sz="0" w:space="0" w:color="auto"/>
        <w:left w:val="none" w:sz="0" w:space="0" w:color="auto"/>
        <w:bottom w:val="none" w:sz="0" w:space="0" w:color="auto"/>
        <w:right w:val="none" w:sz="0" w:space="0" w:color="auto"/>
      </w:divBdr>
    </w:div>
    <w:div w:id="954679195">
      <w:marLeft w:val="0"/>
      <w:marRight w:val="0"/>
      <w:marTop w:val="0"/>
      <w:marBottom w:val="0"/>
      <w:divBdr>
        <w:top w:val="none" w:sz="0" w:space="0" w:color="auto"/>
        <w:left w:val="none" w:sz="0" w:space="0" w:color="auto"/>
        <w:bottom w:val="none" w:sz="0" w:space="0" w:color="auto"/>
        <w:right w:val="none" w:sz="0" w:space="0" w:color="auto"/>
      </w:divBdr>
    </w:div>
    <w:div w:id="954679196">
      <w:marLeft w:val="0"/>
      <w:marRight w:val="0"/>
      <w:marTop w:val="0"/>
      <w:marBottom w:val="0"/>
      <w:divBdr>
        <w:top w:val="none" w:sz="0" w:space="0" w:color="auto"/>
        <w:left w:val="none" w:sz="0" w:space="0" w:color="auto"/>
        <w:bottom w:val="none" w:sz="0" w:space="0" w:color="auto"/>
        <w:right w:val="none" w:sz="0" w:space="0" w:color="auto"/>
      </w:divBdr>
    </w:div>
    <w:div w:id="954679197">
      <w:marLeft w:val="0"/>
      <w:marRight w:val="0"/>
      <w:marTop w:val="0"/>
      <w:marBottom w:val="0"/>
      <w:divBdr>
        <w:top w:val="none" w:sz="0" w:space="0" w:color="auto"/>
        <w:left w:val="none" w:sz="0" w:space="0" w:color="auto"/>
        <w:bottom w:val="none" w:sz="0" w:space="0" w:color="auto"/>
        <w:right w:val="none" w:sz="0" w:space="0" w:color="auto"/>
      </w:divBdr>
    </w:div>
    <w:div w:id="954679198">
      <w:marLeft w:val="0"/>
      <w:marRight w:val="0"/>
      <w:marTop w:val="0"/>
      <w:marBottom w:val="0"/>
      <w:divBdr>
        <w:top w:val="none" w:sz="0" w:space="0" w:color="auto"/>
        <w:left w:val="none" w:sz="0" w:space="0" w:color="auto"/>
        <w:bottom w:val="none" w:sz="0" w:space="0" w:color="auto"/>
        <w:right w:val="none" w:sz="0" w:space="0" w:color="auto"/>
      </w:divBdr>
    </w:div>
    <w:div w:id="954679199">
      <w:marLeft w:val="0"/>
      <w:marRight w:val="0"/>
      <w:marTop w:val="0"/>
      <w:marBottom w:val="0"/>
      <w:divBdr>
        <w:top w:val="none" w:sz="0" w:space="0" w:color="auto"/>
        <w:left w:val="none" w:sz="0" w:space="0" w:color="auto"/>
        <w:bottom w:val="none" w:sz="0" w:space="0" w:color="auto"/>
        <w:right w:val="none" w:sz="0" w:space="0" w:color="auto"/>
      </w:divBdr>
    </w:div>
    <w:div w:id="954679200">
      <w:marLeft w:val="0"/>
      <w:marRight w:val="0"/>
      <w:marTop w:val="0"/>
      <w:marBottom w:val="0"/>
      <w:divBdr>
        <w:top w:val="none" w:sz="0" w:space="0" w:color="auto"/>
        <w:left w:val="none" w:sz="0" w:space="0" w:color="auto"/>
        <w:bottom w:val="none" w:sz="0" w:space="0" w:color="auto"/>
        <w:right w:val="none" w:sz="0" w:space="0" w:color="auto"/>
      </w:divBdr>
    </w:div>
    <w:div w:id="954679201">
      <w:marLeft w:val="0"/>
      <w:marRight w:val="0"/>
      <w:marTop w:val="0"/>
      <w:marBottom w:val="0"/>
      <w:divBdr>
        <w:top w:val="none" w:sz="0" w:space="0" w:color="auto"/>
        <w:left w:val="none" w:sz="0" w:space="0" w:color="auto"/>
        <w:bottom w:val="none" w:sz="0" w:space="0" w:color="auto"/>
        <w:right w:val="none" w:sz="0" w:space="0" w:color="auto"/>
      </w:divBdr>
    </w:div>
    <w:div w:id="954679202">
      <w:marLeft w:val="0"/>
      <w:marRight w:val="0"/>
      <w:marTop w:val="0"/>
      <w:marBottom w:val="0"/>
      <w:divBdr>
        <w:top w:val="none" w:sz="0" w:space="0" w:color="auto"/>
        <w:left w:val="none" w:sz="0" w:space="0" w:color="auto"/>
        <w:bottom w:val="none" w:sz="0" w:space="0" w:color="auto"/>
        <w:right w:val="none" w:sz="0" w:space="0" w:color="auto"/>
      </w:divBdr>
    </w:div>
    <w:div w:id="954679203">
      <w:marLeft w:val="0"/>
      <w:marRight w:val="0"/>
      <w:marTop w:val="0"/>
      <w:marBottom w:val="0"/>
      <w:divBdr>
        <w:top w:val="none" w:sz="0" w:space="0" w:color="auto"/>
        <w:left w:val="none" w:sz="0" w:space="0" w:color="auto"/>
        <w:bottom w:val="none" w:sz="0" w:space="0" w:color="auto"/>
        <w:right w:val="none" w:sz="0" w:space="0" w:color="auto"/>
      </w:divBdr>
    </w:div>
    <w:div w:id="954679204">
      <w:marLeft w:val="0"/>
      <w:marRight w:val="0"/>
      <w:marTop w:val="0"/>
      <w:marBottom w:val="0"/>
      <w:divBdr>
        <w:top w:val="none" w:sz="0" w:space="0" w:color="auto"/>
        <w:left w:val="none" w:sz="0" w:space="0" w:color="auto"/>
        <w:bottom w:val="none" w:sz="0" w:space="0" w:color="auto"/>
        <w:right w:val="none" w:sz="0" w:space="0" w:color="auto"/>
      </w:divBdr>
    </w:div>
    <w:div w:id="954679205">
      <w:marLeft w:val="0"/>
      <w:marRight w:val="0"/>
      <w:marTop w:val="0"/>
      <w:marBottom w:val="0"/>
      <w:divBdr>
        <w:top w:val="none" w:sz="0" w:space="0" w:color="auto"/>
        <w:left w:val="none" w:sz="0" w:space="0" w:color="auto"/>
        <w:bottom w:val="none" w:sz="0" w:space="0" w:color="auto"/>
        <w:right w:val="none" w:sz="0" w:space="0" w:color="auto"/>
      </w:divBdr>
    </w:div>
    <w:div w:id="954679206">
      <w:marLeft w:val="0"/>
      <w:marRight w:val="0"/>
      <w:marTop w:val="0"/>
      <w:marBottom w:val="0"/>
      <w:divBdr>
        <w:top w:val="none" w:sz="0" w:space="0" w:color="auto"/>
        <w:left w:val="none" w:sz="0" w:space="0" w:color="auto"/>
        <w:bottom w:val="none" w:sz="0" w:space="0" w:color="auto"/>
        <w:right w:val="none" w:sz="0" w:space="0" w:color="auto"/>
      </w:divBdr>
    </w:div>
    <w:div w:id="954679207">
      <w:marLeft w:val="0"/>
      <w:marRight w:val="0"/>
      <w:marTop w:val="0"/>
      <w:marBottom w:val="0"/>
      <w:divBdr>
        <w:top w:val="none" w:sz="0" w:space="0" w:color="auto"/>
        <w:left w:val="none" w:sz="0" w:space="0" w:color="auto"/>
        <w:bottom w:val="none" w:sz="0" w:space="0" w:color="auto"/>
        <w:right w:val="none" w:sz="0" w:space="0" w:color="auto"/>
      </w:divBdr>
    </w:div>
    <w:div w:id="954679208">
      <w:marLeft w:val="0"/>
      <w:marRight w:val="0"/>
      <w:marTop w:val="0"/>
      <w:marBottom w:val="0"/>
      <w:divBdr>
        <w:top w:val="none" w:sz="0" w:space="0" w:color="auto"/>
        <w:left w:val="none" w:sz="0" w:space="0" w:color="auto"/>
        <w:bottom w:val="none" w:sz="0" w:space="0" w:color="auto"/>
        <w:right w:val="none" w:sz="0" w:space="0" w:color="auto"/>
      </w:divBdr>
    </w:div>
    <w:div w:id="954679209">
      <w:marLeft w:val="0"/>
      <w:marRight w:val="0"/>
      <w:marTop w:val="0"/>
      <w:marBottom w:val="0"/>
      <w:divBdr>
        <w:top w:val="none" w:sz="0" w:space="0" w:color="auto"/>
        <w:left w:val="none" w:sz="0" w:space="0" w:color="auto"/>
        <w:bottom w:val="none" w:sz="0" w:space="0" w:color="auto"/>
        <w:right w:val="none" w:sz="0" w:space="0" w:color="auto"/>
      </w:divBdr>
    </w:div>
    <w:div w:id="954679210">
      <w:marLeft w:val="0"/>
      <w:marRight w:val="0"/>
      <w:marTop w:val="0"/>
      <w:marBottom w:val="0"/>
      <w:divBdr>
        <w:top w:val="none" w:sz="0" w:space="0" w:color="auto"/>
        <w:left w:val="none" w:sz="0" w:space="0" w:color="auto"/>
        <w:bottom w:val="none" w:sz="0" w:space="0" w:color="auto"/>
        <w:right w:val="none" w:sz="0" w:space="0" w:color="auto"/>
      </w:divBdr>
    </w:div>
    <w:div w:id="954679211">
      <w:marLeft w:val="0"/>
      <w:marRight w:val="0"/>
      <w:marTop w:val="0"/>
      <w:marBottom w:val="0"/>
      <w:divBdr>
        <w:top w:val="none" w:sz="0" w:space="0" w:color="auto"/>
        <w:left w:val="none" w:sz="0" w:space="0" w:color="auto"/>
        <w:bottom w:val="none" w:sz="0" w:space="0" w:color="auto"/>
        <w:right w:val="none" w:sz="0" w:space="0" w:color="auto"/>
      </w:divBdr>
    </w:div>
    <w:div w:id="17135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GB"/>
              <a:t>Short-term Rates</a:t>
            </a:r>
          </a:p>
        </c:rich>
      </c:tx>
      <c:layout>
        <c:manualLayout>
          <c:xMode val="edge"/>
          <c:yMode val="edge"/>
          <c:x val="0.39441709882882997"/>
          <c:y val="5.3565341369365867E-2"/>
        </c:manualLayout>
      </c:layout>
      <c:overlay val="0"/>
      <c:spPr>
        <a:noFill/>
        <a:ln w="25400">
          <a:noFill/>
        </a:ln>
      </c:spPr>
    </c:title>
    <c:autoTitleDeleted val="0"/>
    <c:plotArea>
      <c:layout>
        <c:manualLayout>
          <c:layoutTarget val="inner"/>
          <c:xMode val="edge"/>
          <c:yMode val="edge"/>
          <c:x val="8.5487077534791206E-2"/>
          <c:y val="0.14404451616131975"/>
          <c:w val="0.86878727634194852"/>
          <c:h val="0.59212970114877961"/>
        </c:manualLayout>
      </c:layout>
      <c:lineChart>
        <c:grouping val="standard"/>
        <c:varyColors val="0"/>
        <c:ser>
          <c:idx val="1"/>
          <c:order val="0"/>
          <c:tx>
            <c:strRef>
              <c:f>'Short Term Rates'!$E$2</c:f>
              <c:strCache>
                <c:ptCount val="1"/>
                <c:pt idx="0">
                  <c:v>Mar-14</c:v>
                </c:pt>
              </c:strCache>
            </c:strRef>
          </c:tx>
          <c:spPr>
            <a:ln w="25400">
              <a:solidFill>
                <a:srgbClr val="0070C0"/>
              </a:solidFill>
              <a:prstDash val="solid"/>
            </a:ln>
          </c:spPr>
          <c:marker>
            <c:symbol val="none"/>
          </c:marker>
          <c:cat>
            <c:strRef>
              <c:f>'Short Term Rates'!$D$3:$D$10</c:f>
              <c:strCache>
                <c:ptCount val="8"/>
                <c:pt idx="0">
                  <c:v>O/night</c:v>
                </c:pt>
                <c:pt idx="1">
                  <c:v>Week</c:v>
                </c:pt>
                <c:pt idx="2">
                  <c:v>1m</c:v>
                </c:pt>
                <c:pt idx="3">
                  <c:v>2m</c:v>
                </c:pt>
                <c:pt idx="4">
                  <c:v>3m</c:v>
                </c:pt>
                <c:pt idx="5">
                  <c:v>6m</c:v>
                </c:pt>
                <c:pt idx="6">
                  <c:v>9m</c:v>
                </c:pt>
                <c:pt idx="7">
                  <c:v>12m</c:v>
                </c:pt>
              </c:strCache>
            </c:strRef>
          </c:cat>
          <c:val>
            <c:numRef>
              <c:f>'Short Term Rates'!$E$3:$E$10</c:f>
              <c:numCache>
                <c:formatCode>0.00</c:formatCode>
                <c:ptCount val="8"/>
                <c:pt idx="0">
                  <c:v>0.35</c:v>
                </c:pt>
                <c:pt idx="1">
                  <c:v>0.35</c:v>
                </c:pt>
                <c:pt idx="2">
                  <c:v>0.4</c:v>
                </c:pt>
                <c:pt idx="3">
                  <c:v>0.4</c:v>
                </c:pt>
                <c:pt idx="4">
                  <c:v>0.41</c:v>
                </c:pt>
                <c:pt idx="5">
                  <c:v>0.5</c:v>
                </c:pt>
                <c:pt idx="6">
                  <c:v>0.5</c:v>
                </c:pt>
                <c:pt idx="7">
                  <c:v>0.5</c:v>
                </c:pt>
              </c:numCache>
            </c:numRef>
          </c:val>
          <c:smooth val="0"/>
        </c:ser>
        <c:ser>
          <c:idx val="3"/>
          <c:order val="1"/>
          <c:tx>
            <c:strRef>
              <c:f>'Short Term Rates'!$F$2</c:f>
              <c:strCache>
                <c:ptCount val="1"/>
                <c:pt idx="0">
                  <c:v>Sep-14</c:v>
                </c:pt>
              </c:strCache>
            </c:strRef>
          </c:tx>
          <c:spPr>
            <a:ln w="25400">
              <a:solidFill>
                <a:srgbClr val="FF0000"/>
              </a:solidFill>
              <a:prstDash val="dashDot"/>
            </a:ln>
          </c:spPr>
          <c:marker>
            <c:symbol val="none"/>
          </c:marker>
          <c:cat>
            <c:strRef>
              <c:f>'Short Term Rates'!$D$3:$D$10</c:f>
              <c:strCache>
                <c:ptCount val="8"/>
                <c:pt idx="0">
                  <c:v>O/night</c:v>
                </c:pt>
                <c:pt idx="1">
                  <c:v>Week</c:v>
                </c:pt>
                <c:pt idx="2">
                  <c:v>1m</c:v>
                </c:pt>
                <c:pt idx="3">
                  <c:v>2m</c:v>
                </c:pt>
                <c:pt idx="4">
                  <c:v>3m</c:v>
                </c:pt>
                <c:pt idx="5">
                  <c:v>6m</c:v>
                </c:pt>
                <c:pt idx="6">
                  <c:v>9m</c:v>
                </c:pt>
                <c:pt idx="7">
                  <c:v>12m</c:v>
                </c:pt>
              </c:strCache>
            </c:strRef>
          </c:cat>
          <c:val>
            <c:numRef>
              <c:f>'Short Term Rates'!$F$3:$F$10</c:f>
              <c:numCache>
                <c:formatCode>0.00</c:formatCode>
                <c:ptCount val="8"/>
                <c:pt idx="0">
                  <c:v>0.35</c:v>
                </c:pt>
                <c:pt idx="1">
                  <c:v>0.35</c:v>
                </c:pt>
                <c:pt idx="2">
                  <c:v>0.4</c:v>
                </c:pt>
                <c:pt idx="3">
                  <c:v>0.4</c:v>
                </c:pt>
                <c:pt idx="4">
                  <c:v>0.41</c:v>
                </c:pt>
                <c:pt idx="5">
                  <c:v>0.5</c:v>
                </c:pt>
                <c:pt idx="6">
                  <c:v>0.5</c:v>
                </c:pt>
                <c:pt idx="7">
                  <c:v>0.5</c:v>
                </c:pt>
              </c:numCache>
            </c:numRef>
          </c:val>
          <c:smooth val="0"/>
        </c:ser>
        <c:ser>
          <c:idx val="0"/>
          <c:order val="2"/>
          <c:tx>
            <c:strRef>
              <c:f>'Short Term Rates'!$G$2</c:f>
              <c:strCache>
                <c:ptCount val="1"/>
                <c:pt idx="0">
                  <c:v>Dec-14</c:v>
                </c:pt>
              </c:strCache>
            </c:strRef>
          </c:tx>
          <c:spPr>
            <a:ln>
              <a:solidFill>
                <a:schemeClr val="tx1"/>
              </a:solidFill>
              <a:prstDash val="sysDot"/>
            </a:ln>
          </c:spPr>
          <c:marker>
            <c:symbol val="none"/>
          </c:marker>
          <c:cat>
            <c:strRef>
              <c:f>'Short Term Rates'!$D$3:$D$10</c:f>
              <c:strCache>
                <c:ptCount val="8"/>
                <c:pt idx="0">
                  <c:v>O/night</c:v>
                </c:pt>
                <c:pt idx="1">
                  <c:v>Week</c:v>
                </c:pt>
                <c:pt idx="2">
                  <c:v>1m</c:v>
                </c:pt>
                <c:pt idx="3">
                  <c:v>2m</c:v>
                </c:pt>
                <c:pt idx="4">
                  <c:v>3m</c:v>
                </c:pt>
                <c:pt idx="5">
                  <c:v>6m</c:v>
                </c:pt>
                <c:pt idx="6">
                  <c:v>9m</c:v>
                </c:pt>
                <c:pt idx="7">
                  <c:v>12m</c:v>
                </c:pt>
              </c:strCache>
            </c:strRef>
          </c:cat>
          <c:val>
            <c:numRef>
              <c:f>'Short Term Rates'!$G$3:$G$10</c:f>
              <c:numCache>
                <c:formatCode>0.00</c:formatCode>
                <c:ptCount val="8"/>
                <c:pt idx="0">
                  <c:v>0.35</c:v>
                </c:pt>
                <c:pt idx="1">
                  <c:v>0.35</c:v>
                </c:pt>
                <c:pt idx="2">
                  <c:v>0.4</c:v>
                </c:pt>
                <c:pt idx="3">
                  <c:v>0.4</c:v>
                </c:pt>
                <c:pt idx="4">
                  <c:v>0.41</c:v>
                </c:pt>
                <c:pt idx="5">
                  <c:v>0.5</c:v>
                </c:pt>
                <c:pt idx="6">
                  <c:v>0.5</c:v>
                </c:pt>
                <c:pt idx="7">
                  <c:v>0.5</c:v>
                </c:pt>
              </c:numCache>
            </c:numRef>
          </c:val>
          <c:smooth val="0"/>
        </c:ser>
        <c:dLbls>
          <c:showLegendKey val="0"/>
          <c:showVal val="0"/>
          <c:showCatName val="0"/>
          <c:showSerName val="0"/>
          <c:showPercent val="0"/>
          <c:showBubbleSize val="0"/>
        </c:dLbls>
        <c:smooth val="0"/>
        <c:axId val="131311296"/>
        <c:axId val="132570080"/>
      </c:lineChart>
      <c:catAx>
        <c:axId val="131311296"/>
        <c:scaling>
          <c:orientation val="minMax"/>
        </c:scaling>
        <c:delete val="0"/>
        <c:axPos val="b"/>
        <c:title>
          <c:tx>
            <c:rich>
              <a:bodyPr/>
              <a:lstStyle/>
              <a:p>
                <a:pPr>
                  <a:defRPr sz="975" b="1" i="0" u="none" strike="noStrike" baseline="0">
                    <a:solidFill>
                      <a:srgbClr val="000000"/>
                    </a:solidFill>
                    <a:latin typeface="Arial"/>
                    <a:ea typeface="Arial"/>
                    <a:cs typeface="Arial"/>
                  </a:defRPr>
                </a:pPr>
                <a:r>
                  <a:rPr lang="en-GB"/>
                  <a:t>Period</a:t>
                </a:r>
              </a:p>
            </c:rich>
          </c:tx>
          <c:layout>
            <c:manualLayout>
              <c:xMode val="edge"/>
              <c:yMode val="edge"/>
              <c:x val="0.45722477926974103"/>
              <c:y val="0.8220778328634846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32570080"/>
        <c:crosses val="autoZero"/>
        <c:auto val="1"/>
        <c:lblAlgn val="ctr"/>
        <c:lblOffset val="100"/>
        <c:tickLblSkip val="1"/>
        <c:tickMarkSkip val="1"/>
        <c:noMultiLvlLbl val="0"/>
      </c:catAx>
      <c:valAx>
        <c:axId val="132570080"/>
        <c:scaling>
          <c:orientation val="minMax"/>
          <c:min val="0"/>
        </c:scaling>
        <c:delete val="0"/>
        <c:axPos val="l"/>
        <c:majorGridlines>
          <c:spPr>
            <a:ln w="3175">
              <a:solidFill>
                <a:srgbClr val="000000"/>
              </a:solidFill>
              <a:prstDash val="solid"/>
            </a:ln>
          </c:spPr>
        </c:majorGridlines>
        <c:title>
          <c:tx>
            <c:rich>
              <a:bodyPr rot="0" vert="horz"/>
              <a:lstStyle/>
              <a:p>
                <a:pPr algn="ctr">
                  <a:defRPr sz="1050" b="1" i="0" u="none" strike="noStrike" baseline="0">
                    <a:solidFill>
                      <a:srgbClr val="000000"/>
                    </a:solidFill>
                    <a:latin typeface="Arial"/>
                    <a:ea typeface="Arial"/>
                    <a:cs typeface="Arial"/>
                  </a:defRPr>
                </a:pPr>
                <a:r>
                  <a:rPr lang="en-GB"/>
                  <a:t>%</a:t>
                </a:r>
              </a:p>
            </c:rich>
          </c:tx>
          <c:layout>
            <c:manualLayout>
              <c:xMode val="edge"/>
              <c:yMode val="edge"/>
              <c:x val="3.8416236617765775E-2"/>
              <c:y val="2.7700722594860824E-2"/>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31311296"/>
        <c:crosses val="autoZero"/>
        <c:crossBetween val="between"/>
        <c:majorUnit val="0.2"/>
      </c:valAx>
      <c:spPr>
        <a:solidFill>
          <a:srgbClr val="FFFFFF"/>
        </a:solidFill>
        <a:ln w="25400">
          <a:solidFill>
            <a:srgbClr val="000000"/>
          </a:solidFill>
          <a:prstDash val="solid"/>
        </a:ln>
      </c:spPr>
    </c:plotArea>
    <c:legend>
      <c:legendPos val="b"/>
      <c:layout>
        <c:manualLayout>
          <c:xMode val="edge"/>
          <c:yMode val="edge"/>
          <c:x val="0.26296051157856476"/>
          <c:y val="0.89720022034282754"/>
          <c:w val="0.43677600686387635"/>
          <c:h val="4.9817439486730786E-2"/>
        </c:manualLayout>
      </c:layout>
      <c:overlay val="0"/>
      <c:txPr>
        <a:bodyPr/>
        <a:lstStyle/>
        <a:p>
          <a:pPr>
            <a:defRPr sz="67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GB"/>
              <a:t>PWLB Interest Rates</a:t>
            </a:r>
          </a:p>
        </c:rich>
      </c:tx>
      <c:layout>
        <c:manualLayout>
          <c:xMode val="edge"/>
          <c:yMode val="edge"/>
          <c:x val="0.39092929522608"/>
          <c:y val="3.3994335971960971E-2"/>
        </c:manualLayout>
      </c:layout>
      <c:overlay val="0"/>
      <c:spPr>
        <a:noFill/>
        <a:ln w="25400">
          <a:noFill/>
        </a:ln>
      </c:spPr>
    </c:title>
    <c:autoTitleDeleted val="0"/>
    <c:plotArea>
      <c:layout>
        <c:manualLayout>
          <c:layoutTarget val="inner"/>
          <c:xMode val="edge"/>
          <c:yMode val="edge"/>
          <c:x val="7.5306544257046568E-2"/>
          <c:y val="0.11898016997167143"/>
          <c:w val="0.85113908160289808"/>
          <c:h val="0.70538243626062325"/>
        </c:manualLayout>
      </c:layout>
      <c:lineChart>
        <c:grouping val="standard"/>
        <c:varyColors val="0"/>
        <c:ser>
          <c:idx val="0"/>
          <c:order val="0"/>
          <c:tx>
            <c:strRef>
              <c:f>'PWLB maturity '!$C$2</c:f>
              <c:strCache>
                <c:ptCount val="1"/>
                <c:pt idx="0">
                  <c:v>Mar-14</c:v>
                </c:pt>
              </c:strCache>
            </c:strRef>
          </c:tx>
          <c:marker>
            <c:symbol val="none"/>
          </c:marker>
          <c:cat>
            <c:strRef>
              <c:f>'PWLB maturity '!$B$3:$B$102</c:f>
              <c:strCache>
                <c:ptCount val="100"/>
                <c:pt idx="0">
                  <c:v>1</c:v>
                </c:pt>
                <c:pt idx="1">
                  <c:v> 1½</c:v>
                </c:pt>
                <c:pt idx="2">
                  <c:v> 2</c:v>
                </c:pt>
                <c:pt idx="3">
                  <c:v> 2½</c:v>
                </c:pt>
                <c:pt idx="4">
                  <c:v> 3</c:v>
                </c:pt>
                <c:pt idx="5">
                  <c:v> 3½</c:v>
                </c:pt>
                <c:pt idx="6">
                  <c:v> 4</c:v>
                </c:pt>
                <c:pt idx="7">
                  <c:v> 4½</c:v>
                </c:pt>
                <c:pt idx="8">
                  <c:v> 5</c:v>
                </c:pt>
                <c:pt idx="9">
                  <c:v> 5½</c:v>
                </c:pt>
                <c:pt idx="10">
                  <c:v> 6</c:v>
                </c:pt>
                <c:pt idx="11">
                  <c:v> 6½</c:v>
                </c:pt>
                <c:pt idx="12">
                  <c:v> 7</c:v>
                </c:pt>
                <c:pt idx="13">
                  <c:v> 7½</c:v>
                </c:pt>
                <c:pt idx="14">
                  <c:v> 8</c:v>
                </c:pt>
                <c:pt idx="15">
                  <c:v> 8½</c:v>
                </c:pt>
                <c:pt idx="16">
                  <c:v> 9</c:v>
                </c:pt>
                <c:pt idx="17">
                  <c:v> 9½</c:v>
                </c:pt>
                <c:pt idx="18">
                  <c:v> 10</c:v>
                </c:pt>
                <c:pt idx="19">
                  <c:v>10½</c:v>
                </c:pt>
                <c:pt idx="20">
                  <c:v> 11</c:v>
                </c:pt>
                <c:pt idx="21">
                  <c:v>11½</c:v>
                </c:pt>
                <c:pt idx="22">
                  <c:v> 12</c:v>
                </c:pt>
                <c:pt idx="23">
                  <c:v>12½</c:v>
                </c:pt>
                <c:pt idx="24">
                  <c:v> 13</c:v>
                </c:pt>
                <c:pt idx="25">
                  <c:v>13½</c:v>
                </c:pt>
                <c:pt idx="26">
                  <c:v> 14</c:v>
                </c:pt>
                <c:pt idx="27">
                  <c:v>14½</c:v>
                </c:pt>
                <c:pt idx="28">
                  <c:v> 15</c:v>
                </c:pt>
                <c:pt idx="29">
                  <c:v>15½</c:v>
                </c:pt>
                <c:pt idx="30">
                  <c:v> 16</c:v>
                </c:pt>
                <c:pt idx="31">
                  <c:v>16½</c:v>
                </c:pt>
                <c:pt idx="32">
                  <c:v> 17</c:v>
                </c:pt>
                <c:pt idx="33">
                  <c:v>17½</c:v>
                </c:pt>
                <c:pt idx="34">
                  <c:v> 18</c:v>
                </c:pt>
                <c:pt idx="35">
                  <c:v>18½</c:v>
                </c:pt>
                <c:pt idx="36">
                  <c:v> 19</c:v>
                </c:pt>
                <c:pt idx="37">
                  <c:v>19½</c:v>
                </c:pt>
                <c:pt idx="38">
                  <c:v> 20</c:v>
                </c:pt>
                <c:pt idx="39">
                  <c:v>20½</c:v>
                </c:pt>
                <c:pt idx="40">
                  <c:v> 21</c:v>
                </c:pt>
                <c:pt idx="41">
                  <c:v>21½</c:v>
                </c:pt>
                <c:pt idx="42">
                  <c:v> 22</c:v>
                </c:pt>
                <c:pt idx="43">
                  <c:v>22½</c:v>
                </c:pt>
                <c:pt idx="44">
                  <c:v> 23</c:v>
                </c:pt>
                <c:pt idx="45">
                  <c:v>23½</c:v>
                </c:pt>
                <c:pt idx="46">
                  <c:v> 24</c:v>
                </c:pt>
                <c:pt idx="47">
                  <c:v>24½</c:v>
                </c:pt>
                <c:pt idx="48">
                  <c:v> 25</c:v>
                </c:pt>
                <c:pt idx="49">
                  <c:v>25½</c:v>
                </c:pt>
                <c:pt idx="50">
                  <c:v> 26</c:v>
                </c:pt>
                <c:pt idx="51">
                  <c:v>26½</c:v>
                </c:pt>
                <c:pt idx="52">
                  <c:v> 27</c:v>
                </c:pt>
                <c:pt idx="53">
                  <c:v>27½</c:v>
                </c:pt>
                <c:pt idx="54">
                  <c:v> 28</c:v>
                </c:pt>
                <c:pt idx="55">
                  <c:v>28½</c:v>
                </c:pt>
                <c:pt idx="56">
                  <c:v> 29</c:v>
                </c:pt>
                <c:pt idx="57">
                  <c:v>29½</c:v>
                </c:pt>
                <c:pt idx="58">
                  <c:v> 30</c:v>
                </c:pt>
                <c:pt idx="59">
                  <c:v>30½</c:v>
                </c:pt>
                <c:pt idx="60">
                  <c:v> 31</c:v>
                </c:pt>
                <c:pt idx="61">
                  <c:v>31½</c:v>
                </c:pt>
                <c:pt idx="62">
                  <c:v> 32</c:v>
                </c:pt>
                <c:pt idx="63">
                  <c:v>32½</c:v>
                </c:pt>
                <c:pt idx="64">
                  <c:v> 33</c:v>
                </c:pt>
                <c:pt idx="65">
                  <c:v>33½</c:v>
                </c:pt>
                <c:pt idx="66">
                  <c:v> 34</c:v>
                </c:pt>
                <c:pt idx="67">
                  <c:v>34½</c:v>
                </c:pt>
                <c:pt idx="68">
                  <c:v> 35</c:v>
                </c:pt>
                <c:pt idx="69">
                  <c:v>35½</c:v>
                </c:pt>
                <c:pt idx="70">
                  <c:v> 36</c:v>
                </c:pt>
                <c:pt idx="71">
                  <c:v>36½</c:v>
                </c:pt>
                <c:pt idx="72">
                  <c:v> 37</c:v>
                </c:pt>
                <c:pt idx="73">
                  <c:v>37½</c:v>
                </c:pt>
                <c:pt idx="74">
                  <c:v> 38</c:v>
                </c:pt>
                <c:pt idx="75">
                  <c:v>38½</c:v>
                </c:pt>
                <c:pt idx="76">
                  <c:v> 39</c:v>
                </c:pt>
                <c:pt idx="77">
                  <c:v>39½</c:v>
                </c:pt>
                <c:pt idx="78">
                  <c:v> 40</c:v>
                </c:pt>
                <c:pt idx="79">
                  <c:v>40½</c:v>
                </c:pt>
                <c:pt idx="80">
                  <c:v> 41</c:v>
                </c:pt>
                <c:pt idx="81">
                  <c:v>41½</c:v>
                </c:pt>
                <c:pt idx="82">
                  <c:v> 42</c:v>
                </c:pt>
                <c:pt idx="83">
                  <c:v>42½</c:v>
                </c:pt>
                <c:pt idx="84">
                  <c:v> 43</c:v>
                </c:pt>
                <c:pt idx="85">
                  <c:v>43½</c:v>
                </c:pt>
                <c:pt idx="86">
                  <c:v> 44</c:v>
                </c:pt>
                <c:pt idx="87">
                  <c:v>44½</c:v>
                </c:pt>
                <c:pt idx="88">
                  <c:v> 45</c:v>
                </c:pt>
                <c:pt idx="89">
                  <c:v>45½</c:v>
                </c:pt>
                <c:pt idx="90">
                  <c:v> 46</c:v>
                </c:pt>
                <c:pt idx="91">
                  <c:v>46½</c:v>
                </c:pt>
                <c:pt idx="92">
                  <c:v> 47</c:v>
                </c:pt>
                <c:pt idx="93">
                  <c:v>47½</c:v>
                </c:pt>
                <c:pt idx="94">
                  <c:v> 48</c:v>
                </c:pt>
                <c:pt idx="95">
                  <c:v>48½</c:v>
                </c:pt>
                <c:pt idx="96">
                  <c:v> 49</c:v>
                </c:pt>
                <c:pt idx="97">
                  <c:v>49½</c:v>
                </c:pt>
                <c:pt idx="98">
                  <c:v> 50</c:v>
                </c:pt>
                <c:pt idx="99">
                  <c:v>51+</c:v>
                </c:pt>
              </c:strCache>
            </c:strRef>
          </c:cat>
          <c:val>
            <c:numRef>
              <c:f>'PWLB maturity '!$C$3:$C$102</c:f>
              <c:numCache>
                <c:formatCode>#,##0.00;\-#,##0.00;\-</c:formatCode>
                <c:ptCount val="100"/>
                <c:pt idx="0">
                  <c:v>1.46</c:v>
                </c:pt>
                <c:pt idx="1">
                  <c:v>1.64</c:v>
                </c:pt>
                <c:pt idx="2">
                  <c:v>1.83</c:v>
                </c:pt>
                <c:pt idx="3">
                  <c:v>2.02</c:v>
                </c:pt>
                <c:pt idx="4">
                  <c:v>2.2000000000000002</c:v>
                </c:pt>
                <c:pt idx="5">
                  <c:v>2.38</c:v>
                </c:pt>
                <c:pt idx="6">
                  <c:v>2.5499999999999998</c:v>
                </c:pt>
                <c:pt idx="7">
                  <c:v>2.72</c:v>
                </c:pt>
                <c:pt idx="8">
                  <c:v>2.87</c:v>
                </c:pt>
                <c:pt idx="9">
                  <c:v>3</c:v>
                </c:pt>
                <c:pt idx="10">
                  <c:v>3.13</c:v>
                </c:pt>
                <c:pt idx="11">
                  <c:v>3.25</c:v>
                </c:pt>
                <c:pt idx="12">
                  <c:v>3.36</c:v>
                </c:pt>
                <c:pt idx="13">
                  <c:v>3.46</c:v>
                </c:pt>
                <c:pt idx="14">
                  <c:v>3.55</c:v>
                </c:pt>
                <c:pt idx="15">
                  <c:v>3.63</c:v>
                </c:pt>
                <c:pt idx="16">
                  <c:v>3.7</c:v>
                </c:pt>
                <c:pt idx="17">
                  <c:v>3.77</c:v>
                </c:pt>
                <c:pt idx="18">
                  <c:v>3.84</c:v>
                </c:pt>
                <c:pt idx="19">
                  <c:v>3.89</c:v>
                </c:pt>
                <c:pt idx="20">
                  <c:v>3.95</c:v>
                </c:pt>
                <c:pt idx="21">
                  <c:v>4</c:v>
                </c:pt>
                <c:pt idx="22">
                  <c:v>4.04</c:v>
                </c:pt>
                <c:pt idx="23">
                  <c:v>4.08</c:v>
                </c:pt>
                <c:pt idx="24">
                  <c:v>4.12</c:v>
                </c:pt>
                <c:pt idx="25">
                  <c:v>4.1500000000000004</c:v>
                </c:pt>
                <c:pt idx="26">
                  <c:v>4.1900000000000004</c:v>
                </c:pt>
                <c:pt idx="27">
                  <c:v>4.22</c:v>
                </c:pt>
                <c:pt idx="28">
                  <c:v>4.24</c:v>
                </c:pt>
                <c:pt idx="29">
                  <c:v>4.2699999999999996</c:v>
                </c:pt>
                <c:pt idx="30">
                  <c:v>4.29</c:v>
                </c:pt>
                <c:pt idx="31">
                  <c:v>4.3099999999999996</c:v>
                </c:pt>
                <c:pt idx="32">
                  <c:v>4.33</c:v>
                </c:pt>
                <c:pt idx="33">
                  <c:v>4.3499999999999996</c:v>
                </c:pt>
                <c:pt idx="34">
                  <c:v>4.37</c:v>
                </c:pt>
                <c:pt idx="35">
                  <c:v>4.3899999999999997</c:v>
                </c:pt>
                <c:pt idx="36">
                  <c:v>4.4000000000000004</c:v>
                </c:pt>
                <c:pt idx="37">
                  <c:v>4.41</c:v>
                </c:pt>
                <c:pt idx="38">
                  <c:v>4.43</c:v>
                </c:pt>
                <c:pt idx="39">
                  <c:v>4.4400000000000004</c:v>
                </c:pt>
                <c:pt idx="40">
                  <c:v>4.45</c:v>
                </c:pt>
                <c:pt idx="41">
                  <c:v>4.46</c:v>
                </c:pt>
                <c:pt idx="42">
                  <c:v>4.47</c:v>
                </c:pt>
                <c:pt idx="43">
                  <c:v>4.4800000000000004</c:v>
                </c:pt>
                <c:pt idx="44">
                  <c:v>4.4800000000000004</c:v>
                </c:pt>
                <c:pt idx="45">
                  <c:v>4.49</c:v>
                </c:pt>
                <c:pt idx="46">
                  <c:v>4.5</c:v>
                </c:pt>
                <c:pt idx="47">
                  <c:v>4.5</c:v>
                </c:pt>
                <c:pt idx="48">
                  <c:v>4.51</c:v>
                </c:pt>
                <c:pt idx="49">
                  <c:v>4.51</c:v>
                </c:pt>
                <c:pt idx="50">
                  <c:v>4.51</c:v>
                </c:pt>
                <c:pt idx="51">
                  <c:v>4.5199999999999996</c:v>
                </c:pt>
                <c:pt idx="52">
                  <c:v>4.5199999999999996</c:v>
                </c:pt>
                <c:pt idx="53">
                  <c:v>4.5199999999999996</c:v>
                </c:pt>
                <c:pt idx="54">
                  <c:v>4.5199999999999996</c:v>
                </c:pt>
                <c:pt idx="55">
                  <c:v>4.5199999999999996</c:v>
                </c:pt>
                <c:pt idx="56">
                  <c:v>4.53</c:v>
                </c:pt>
                <c:pt idx="57">
                  <c:v>4.53</c:v>
                </c:pt>
                <c:pt idx="58">
                  <c:v>4.53</c:v>
                </c:pt>
                <c:pt idx="59">
                  <c:v>4.53</c:v>
                </c:pt>
                <c:pt idx="60">
                  <c:v>4.53</c:v>
                </c:pt>
                <c:pt idx="61">
                  <c:v>4.53</c:v>
                </c:pt>
                <c:pt idx="62">
                  <c:v>4.53</c:v>
                </c:pt>
                <c:pt idx="63">
                  <c:v>4.53</c:v>
                </c:pt>
                <c:pt idx="64">
                  <c:v>4.53</c:v>
                </c:pt>
                <c:pt idx="65">
                  <c:v>4.53</c:v>
                </c:pt>
                <c:pt idx="66">
                  <c:v>4.5199999999999996</c:v>
                </c:pt>
                <c:pt idx="67">
                  <c:v>4.5199999999999996</c:v>
                </c:pt>
                <c:pt idx="68">
                  <c:v>4.5199999999999996</c:v>
                </c:pt>
                <c:pt idx="69">
                  <c:v>4.5199999999999996</c:v>
                </c:pt>
                <c:pt idx="70">
                  <c:v>4.5199999999999996</c:v>
                </c:pt>
                <c:pt idx="71">
                  <c:v>4.5199999999999996</c:v>
                </c:pt>
                <c:pt idx="72">
                  <c:v>4.5199999999999996</c:v>
                </c:pt>
                <c:pt idx="73">
                  <c:v>4.5199999999999996</c:v>
                </c:pt>
                <c:pt idx="74">
                  <c:v>4.51</c:v>
                </c:pt>
                <c:pt idx="75">
                  <c:v>4.51</c:v>
                </c:pt>
                <c:pt idx="76">
                  <c:v>4.51</c:v>
                </c:pt>
                <c:pt idx="77">
                  <c:v>4.51</c:v>
                </c:pt>
                <c:pt idx="78">
                  <c:v>4.51</c:v>
                </c:pt>
                <c:pt idx="79">
                  <c:v>4.51</c:v>
                </c:pt>
                <c:pt idx="80">
                  <c:v>4.5</c:v>
                </c:pt>
                <c:pt idx="81">
                  <c:v>4.5</c:v>
                </c:pt>
                <c:pt idx="82">
                  <c:v>4.5</c:v>
                </c:pt>
                <c:pt idx="83">
                  <c:v>4.5</c:v>
                </c:pt>
                <c:pt idx="84">
                  <c:v>4.5</c:v>
                </c:pt>
                <c:pt idx="85">
                  <c:v>4.5</c:v>
                </c:pt>
                <c:pt idx="86">
                  <c:v>4.5</c:v>
                </c:pt>
                <c:pt idx="87">
                  <c:v>4.5</c:v>
                </c:pt>
                <c:pt idx="88">
                  <c:v>4.5</c:v>
                </c:pt>
                <c:pt idx="89">
                  <c:v>4.49</c:v>
                </c:pt>
                <c:pt idx="90">
                  <c:v>4.49</c:v>
                </c:pt>
                <c:pt idx="91">
                  <c:v>4.49</c:v>
                </c:pt>
                <c:pt idx="92">
                  <c:v>4.49</c:v>
                </c:pt>
                <c:pt idx="93">
                  <c:v>4.49</c:v>
                </c:pt>
                <c:pt idx="94">
                  <c:v>4.49</c:v>
                </c:pt>
                <c:pt idx="95">
                  <c:v>4.49</c:v>
                </c:pt>
                <c:pt idx="96">
                  <c:v>4.49</c:v>
                </c:pt>
                <c:pt idx="97">
                  <c:v>4.49</c:v>
                </c:pt>
                <c:pt idx="98">
                  <c:v>4.49</c:v>
                </c:pt>
                <c:pt idx="99">
                  <c:v>4.49</c:v>
                </c:pt>
              </c:numCache>
            </c:numRef>
          </c:val>
          <c:smooth val="0"/>
        </c:ser>
        <c:ser>
          <c:idx val="1"/>
          <c:order val="1"/>
          <c:tx>
            <c:strRef>
              <c:f>'PWLB maturity '!$D$2</c:f>
              <c:strCache>
                <c:ptCount val="1"/>
                <c:pt idx="0">
                  <c:v>Sep-14</c:v>
                </c:pt>
              </c:strCache>
            </c:strRef>
          </c:tx>
          <c:spPr>
            <a:ln>
              <a:solidFill>
                <a:srgbClr val="FF0000"/>
              </a:solidFill>
              <a:prstDash val="dashDot"/>
            </a:ln>
          </c:spPr>
          <c:marker>
            <c:symbol val="none"/>
          </c:marker>
          <c:cat>
            <c:strRef>
              <c:f>'PWLB maturity '!$B$3:$B$102</c:f>
              <c:strCache>
                <c:ptCount val="100"/>
                <c:pt idx="0">
                  <c:v>1</c:v>
                </c:pt>
                <c:pt idx="1">
                  <c:v> 1½</c:v>
                </c:pt>
                <c:pt idx="2">
                  <c:v> 2</c:v>
                </c:pt>
                <c:pt idx="3">
                  <c:v> 2½</c:v>
                </c:pt>
                <c:pt idx="4">
                  <c:v> 3</c:v>
                </c:pt>
                <c:pt idx="5">
                  <c:v> 3½</c:v>
                </c:pt>
                <c:pt idx="6">
                  <c:v> 4</c:v>
                </c:pt>
                <c:pt idx="7">
                  <c:v> 4½</c:v>
                </c:pt>
                <c:pt idx="8">
                  <c:v> 5</c:v>
                </c:pt>
                <c:pt idx="9">
                  <c:v> 5½</c:v>
                </c:pt>
                <c:pt idx="10">
                  <c:v> 6</c:v>
                </c:pt>
                <c:pt idx="11">
                  <c:v> 6½</c:v>
                </c:pt>
                <c:pt idx="12">
                  <c:v> 7</c:v>
                </c:pt>
                <c:pt idx="13">
                  <c:v> 7½</c:v>
                </c:pt>
                <c:pt idx="14">
                  <c:v> 8</c:v>
                </c:pt>
                <c:pt idx="15">
                  <c:v> 8½</c:v>
                </c:pt>
                <c:pt idx="16">
                  <c:v> 9</c:v>
                </c:pt>
                <c:pt idx="17">
                  <c:v> 9½</c:v>
                </c:pt>
                <c:pt idx="18">
                  <c:v> 10</c:v>
                </c:pt>
                <c:pt idx="19">
                  <c:v>10½</c:v>
                </c:pt>
                <c:pt idx="20">
                  <c:v> 11</c:v>
                </c:pt>
                <c:pt idx="21">
                  <c:v>11½</c:v>
                </c:pt>
                <c:pt idx="22">
                  <c:v> 12</c:v>
                </c:pt>
                <c:pt idx="23">
                  <c:v>12½</c:v>
                </c:pt>
                <c:pt idx="24">
                  <c:v> 13</c:v>
                </c:pt>
                <c:pt idx="25">
                  <c:v>13½</c:v>
                </c:pt>
                <c:pt idx="26">
                  <c:v> 14</c:v>
                </c:pt>
                <c:pt idx="27">
                  <c:v>14½</c:v>
                </c:pt>
                <c:pt idx="28">
                  <c:v> 15</c:v>
                </c:pt>
                <c:pt idx="29">
                  <c:v>15½</c:v>
                </c:pt>
                <c:pt idx="30">
                  <c:v> 16</c:v>
                </c:pt>
                <c:pt idx="31">
                  <c:v>16½</c:v>
                </c:pt>
                <c:pt idx="32">
                  <c:v> 17</c:v>
                </c:pt>
                <c:pt idx="33">
                  <c:v>17½</c:v>
                </c:pt>
                <c:pt idx="34">
                  <c:v> 18</c:v>
                </c:pt>
                <c:pt idx="35">
                  <c:v>18½</c:v>
                </c:pt>
                <c:pt idx="36">
                  <c:v> 19</c:v>
                </c:pt>
                <c:pt idx="37">
                  <c:v>19½</c:v>
                </c:pt>
                <c:pt idx="38">
                  <c:v> 20</c:v>
                </c:pt>
                <c:pt idx="39">
                  <c:v>20½</c:v>
                </c:pt>
                <c:pt idx="40">
                  <c:v> 21</c:v>
                </c:pt>
                <c:pt idx="41">
                  <c:v>21½</c:v>
                </c:pt>
                <c:pt idx="42">
                  <c:v> 22</c:v>
                </c:pt>
                <c:pt idx="43">
                  <c:v>22½</c:v>
                </c:pt>
                <c:pt idx="44">
                  <c:v> 23</c:v>
                </c:pt>
                <c:pt idx="45">
                  <c:v>23½</c:v>
                </c:pt>
                <c:pt idx="46">
                  <c:v> 24</c:v>
                </c:pt>
                <c:pt idx="47">
                  <c:v>24½</c:v>
                </c:pt>
                <c:pt idx="48">
                  <c:v> 25</c:v>
                </c:pt>
                <c:pt idx="49">
                  <c:v>25½</c:v>
                </c:pt>
                <c:pt idx="50">
                  <c:v> 26</c:v>
                </c:pt>
                <c:pt idx="51">
                  <c:v>26½</c:v>
                </c:pt>
                <c:pt idx="52">
                  <c:v> 27</c:v>
                </c:pt>
                <c:pt idx="53">
                  <c:v>27½</c:v>
                </c:pt>
                <c:pt idx="54">
                  <c:v> 28</c:v>
                </c:pt>
                <c:pt idx="55">
                  <c:v>28½</c:v>
                </c:pt>
                <c:pt idx="56">
                  <c:v> 29</c:v>
                </c:pt>
                <c:pt idx="57">
                  <c:v>29½</c:v>
                </c:pt>
                <c:pt idx="58">
                  <c:v> 30</c:v>
                </c:pt>
                <c:pt idx="59">
                  <c:v>30½</c:v>
                </c:pt>
                <c:pt idx="60">
                  <c:v> 31</c:v>
                </c:pt>
                <c:pt idx="61">
                  <c:v>31½</c:v>
                </c:pt>
                <c:pt idx="62">
                  <c:v> 32</c:v>
                </c:pt>
                <c:pt idx="63">
                  <c:v>32½</c:v>
                </c:pt>
                <c:pt idx="64">
                  <c:v> 33</c:v>
                </c:pt>
                <c:pt idx="65">
                  <c:v>33½</c:v>
                </c:pt>
                <c:pt idx="66">
                  <c:v> 34</c:v>
                </c:pt>
                <c:pt idx="67">
                  <c:v>34½</c:v>
                </c:pt>
                <c:pt idx="68">
                  <c:v> 35</c:v>
                </c:pt>
                <c:pt idx="69">
                  <c:v>35½</c:v>
                </c:pt>
                <c:pt idx="70">
                  <c:v> 36</c:v>
                </c:pt>
                <c:pt idx="71">
                  <c:v>36½</c:v>
                </c:pt>
                <c:pt idx="72">
                  <c:v> 37</c:v>
                </c:pt>
                <c:pt idx="73">
                  <c:v>37½</c:v>
                </c:pt>
                <c:pt idx="74">
                  <c:v> 38</c:v>
                </c:pt>
                <c:pt idx="75">
                  <c:v>38½</c:v>
                </c:pt>
                <c:pt idx="76">
                  <c:v> 39</c:v>
                </c:pt>
                <c:pt idx="77">
                  <c:v>39½</c:v>
                </c:pt>
                <c:pt idx="78">
                  <c:v> 40</c:v>
                </c:pt>
                <c:pt idx="79">
                  <c:v>40½</c:v>
                </c:pt>
                <c:pt idx="80">
                  <c:v> 41</c:v>
                </c:pt>
                <c:pt idx="81">
                  <c:v>41½</c:v>
                </c:pt>
                <c:pt idx="82">
                  <c:v> 42</c:v>
                </c:pt>
                <c:pt idx="83">
                  <c:v>42½</c:v>
                </c:pt>
                <c:pt idx="84">
                  <c:v> 43</c:v>
                </c:pt>
                <c:pt idx="85">
                  <c:v>43½</c:v>
                </c:pt>
                <c:pt idx="86">
                  <c:v> 44</c:v>
                </c:pt>
                <c:pt idx="87">
                  <c:v>44½</c:v>
                </c:pt>
                <c:pt idx="88">
                  <c:v> 45</c:v>
                </c:pt>
                <c:pt idx="89">
                  <c:v>45½</c:v>
                </c:pt>
                <c:pt idx="90">
                  <c:v> 46</c:v>
                </c:pt>
                <c:pt idx="91">
                  <c:v>46½</c:v>
                </c:pt>
                <c:pt idx="92">
                  <c:v> 47</c:v>
                </c:pt>
                <c:pt idx="93">
                  <c:v>47½</c:v>
                </c:pt>
                <c:pt idx="94">
                  <c:v> 48</c:v>
                </c:pt>
                <c:pt idx="95">
                  <c:v>48½</c:v>
                </c:pt>
                <c:pt idx="96">
                  <c:v> 49</c:v>
                </c:pt>
                <c:pt idx="97">
                  <c:v>49½</c:v>
                </c:pt>
                <c:pt idx="98">
                  <c:v> 50</c:v>
                </c:pt>
                <c:pt idx="99">
                  <c:v>51+</c:v>
                </c:pt>
              </c:strCache>
            </c:strRef>
          </c:cat>
          <c:val>
            <c:numRef>
              <c:f>'PWLB maturity '!$D$3:$D$102</c:f>
              <c:numCache>
                <c:formatCode>General</c:formatCode>
                <c:ptCount val="100"/>
                <c:pt idx="0">
                  <c:v>1.56</c:v>
                </c:pt>
                <c:pt idx="1">
                  <c:v>1.92</c:v>
                </c:pt>
                <c:pt idx="2">
                  <c:v>2.09</c:v>
                </c:pt>
                <c:pt idx="3">
                  <c:v>2.25</c:v>
                </c:pt>
                <c:pt idx="4">
                  <c:v>2.39</c:v>
                </c:pt>
                <c:pt idx="5">
                  <c:v>2.5299999999999998</c:v>
                </c:pt>
                <c:pt idx="6">
                  <c:v>2.65</c:v>
                </c:pt>
                <c:pt idx="7">
                  <c:v>2.76</c:v>
                </c:pt>
                <c:pt idx="8">
                  <c:v>2.87</c:v>
                </c:pt>
                <c:pt idx="9">
                  <c:v>2.96</c:v>
                </c:pt>
                <c:pt idx="10">
                  <c:v>3.04</c:v>
                </c:pt>
                <c:pt idx="11">
                  <c:v>3.12</c:v>
                </c:pt>
                <c:pt idx="12">
                  <c:v>3.19</c:v>
                </c:pt>
                <c:pt idx="13">
                  <c:v>3.25</c:v>
                </c:pt>
                <c:pt idx="14">
                  <c:v>3.31</c:v>
                </c:pt>
                <c:pt idx="15">
                  <c:v>3.37</c:v>
                </c:pt>
                <c:pt idx="16">
                  <c:v>3.42</c:v>
                </c:pt>
                <c:pt idx="17">
                  <c:v>3.46</c:v>
                </c:pt>
                <c:pt idx="18">
                  <c:v>3.51</c:v>
                </c:pt>
                <c:pt idx="19">
                  <c:v>3.55</c:v>
                </c:pt>
                <c:pt idx="20">
                  <c:v>3.59</c:v>
                </c:pt>
                <c:pt idx="21">
                  <c:v>3.62</c:v>
                </c:pt>
                <c:pt idx="22">
                  <c:v>3.66</c:v>
                </c:pt>
                <c:pt idx="23">
                  <c:v>3.69</c:v>
                </c:pt>
                <c:pt idx="24">
                  <c:v>3.72</c:v>
                </c:pt>
                <c:pt idx="25">
                  <c:v>3.74</c:v>
                </c:pt>
                <c:pt idx="26">
                  <c:v>3.77</c:v>
                </c:pt>
                <c:pt idx="27">
                  <c:v>3.79</c:v>
                </c:pt>
                <c:pt idx="28">
                  <c:v>3.82</c:v>
                </c:pt>
                <c:pt idx="29">
                  <c:v>3.84</c:v>
                </c:pt>
                <c:pt idx="30">
                  <c:v>3.86</c:v>
                </c:pt>
                <c:pt idx="31">
                  <c:v>3.88</c:v>
                </c:pt>
                <c:pt idx="32">
                  <c:v>3.9</c:v>
                </c:pt>
                <c:pt idx="33">
                  <c:v>3.91</c:v>
                </c:pt>
                <c:pt idx="34">
                  <c:v>3.93</c:v>
                </c:pt>
                <c:pt idx="35">
                  <c:v>3.94</c:v>
                </c:pt>
                <c:pt idx="36">
                  <c:v>3.95</c:v>
                </c:pt>
                <c:pt idx="37">
                  <c:v>3.97</c:v>
                </c:pt>
                <c:pt idx="38">
                  <c:v>3.98</c:v>
                </c:pt>
                <c:pt idx="39">
                  <c:v>3.99</c:v>
                </c:pt>
                <c:pt idx="40">
                  <c:v>4</c:v>
                </c:pt>
                <c:pt idx="41">
                  <c:v>4.01</c:v>
                </c:pt>
                <c:pt idx="42">
                  <c:v>4.01</c:v>
                </c:pt>
                <c:pt idx="43">
                  <c:v>4.0199999999999996</c:v>
                </c:pt>
                <c:pt idx="44">
                  <c:v>4.03</c:v>
                </c:pt>
                <c:pt idx="45">
                  <c:v>4.03</c:v>
                </c:pt>
                <c:pt idx="46">
                  <c:v>4.04</c:v>
                </c:pt>
                <c:pt idx="47">
                  <c:v>4.04</c:v>
                </c:pt>
                <c:pt idx="48">
                  <c:v>4.05</c:v>
                </c:pt>
                <c:pt idx="49">
                  <c:v>4.05</c:v>
                </c:pt>
                <c:pt idx="50">
                  <c:v>4.0599999999999996</c:v>
                </c:pt>
                <c:pt idx="51">
                  <c:v>4.0599999999999996</c:v>
                </c:pt>
                <c:pt idx="52">
                  <c:v>4.0599999999999996</c:v>
                </c:pt>
                <c:pt idx="53">
                  <c:v>4.0599999999999996</c:v>
                </c:pt>
                <c:pt idx="54">
                  <c:v>4.0599999999999996</c:v>
                </c:pt>
                <c:pt idx="55">
                  <c:v>4.0599999999999996</c:v>
                </c:pt>
                <c:pt idx="56">
                  <c:v>4.0599999999999996</c:v>
                </c:pt>
                <c:pt idx="57">
                  <c:v>4.0599999999999996</c:v>
                </c:pt>
                <c:pt idx="58">
                  <c:v>4.0599999999999996</c:v>
                </c:pt>
                <c:pt idx="59">
                  <c:v>4.0599999999999996</c:v>
                </c:pt>
                <c:pt idx="60">
                  <c:v>4.0599999999999996</c:v>
                </c:pt>
                <c:pt idx="61">
                  <c:v>4.0599999999999996</c:v>
                </c:pt>
                <c:pt idx="62">
                  <c:v>4.0599999999999996</c:v>
                </c:pt>
                <c:pt idx="63">
                  <c:v>4.0599999999999996</c:v>
                </c:pt>
                <c:pt idx="64">
                  <c:v>4.0599999999999996</c:v>
                </c:pt>
                <c:pt idx="65">
                  <c:v>4.0599999999999996</c:v>
                </c:pt>
                <c:pt idx="66">
                  <c:v>4.0599999999999996</c:v>
                </c:pt>
                <c:pt idx="67">
                  <c:v>4.0599999999999996</c:v>
                </c:pt>
                <c:pt idx="68">
                  <c:v>4.0599999999999996</c:v>
                </c:pt>
                <c:pt idx="69">
                  <c:v>4.05</c:v>
                </c:pt>
                <c:pt idx="70">
                  <c:v>4.05</c:v>
                </c:pt>
                <c:pt idx="71">
                  <c:v>4.05</c:v>
                </c:pt>
                <c:pt idx="72">
                  <c:v>4.05</c:v>
                </c:pt>
                <c:pt idx="73">
                  <c:v>4.05</c:v>
                </c:pt>
                <c:pt idx="74">
                  <c:v>4.05</c:v>
                </c:pt>
                <c:pt idx="75">
                  <c:v>4.05</c:v>
                </c:pt>
                <c:pt idx="76">
                  <c:v>4.04</c:v>
                </c:pt>
                <c:pt idx="77">
                  <c:v>4.04</c:v>
                </c:pt>
                <c:pt idx="78">
                  <c:v>4.04</c:v>
                </c:pt>
                <c:pt idx="79">
                  <c:v>4.04</c:v>
                </c:pt>
                <c:pt idx="80">
                  <c:v>4.04</c:v>
                </c:pt>
                <c:pt idx="81">
                  <c:v>4.04</c:v>
                </c:pt>
                <c:pt idx="82">
                  <c:v>4.04</c:v>
                </c:pt>
                <c:pt idx="83">
                  <c:v>4.04</c:v>
                </c:pt>
                <c:pt idx="84">
                  <c:v>4.03</c:v>
                </c:pt>
                <c:pt idx="85">
                  <c:v>4.03</c:v>
                </c:pt>
                <c:pt idx="86">
                  <c:v>4.03</c:v>
                </c:pt>
                <c:pt idx="87">
                  <c:v>4.03</c:v>
                </c:pt>
                <c:pt idx="88">
                  <c:v>4.03</c:v>
                </c:pt>
                <c:pt idx="89">
                  <c:v>4.03</c:v>
                </c:pt>
                <c:pt idx="90">
                  <c:v>4.03</c:v>
                </c:pt>
                <c:pt idx="91">
                  <c:v>4.03</c:v>
                </c:pt>
                <c:pt idx="92">
                  <c:v>4.03</c:v>
                </c:pt>
                <c:pt idx="93">
                  <c:v>4.03</c:v>
                </c:pt>
                <c:pt idx="94">
                  <c:v>4.03</c:v>
                </c:pt>
                <c:pt idx="95">
                  <c:v>4.03</c:v>
                </c:pt>
                <c:pt idx="96">
                  <c:v>4.03</c:v>
                </c:pt>
                <c:pt idx="97">
                  <c:v>4.03</c:v>
                </c:pt>
                <c:pt idx="98">
                  <c:v>4.03</c:v>
                </c:pt>
                <c:pt idx="99">
                  <c:v>4.03</c:v>
                </c:pt>
              </c:numCache>
            </c:numRef>
          </c:val>
          <c:smooth val="0"/>
        </c:ser>
        <c:ser>
          <c:idx val="2"/>
          <c:order val="2"/>
          <c:tx>
            <c:strRef>
              <c:f>'PWLB maturity '!$E$2</c:f>
              <c:strCache>
                <c:ptCount val="1"/>
                <c:pt idx="0">
                  <c:v>Dec-14</c:v>
                </c:pt>
              </c:strCache>
            </c:strRef>
          </c:tx>
          <c:spPr>
            <a:ln cmpd="sng">
              <a:solidFill>
                <a:schemeClr val="tx1"/>
              </a:solidFill>
              <a:prstDash val="sysDot"/>
            </a:ln>
          </c:spPr>
          <c:marker>
            <c:symbol val="none"/>
          </c:marker>
          <c:cat>
            <c:strRef>
              <c:f>'PWLB maturity '!$B$3:$B$102</c:f>
              <c:strCache>
                <c:ptCount val="100"/>
                <c:pt idx="0">
                  <c:v>1</c:v>
                </c:pt>
                <c:pt idx="1">
                  <c:v> 1½</c:v>
                </c:pt>
                <c:pt idx="2">
                  <c:v> 2</c:v>
                </c:pt>
                <c:pt idx="3">
                  <c:v> 2½</c:v>
                </c:pt>
                <c:pt idx="4">
                  <c:v> 3</c:v>
                </c:pt>
                <c:pt idx="5">
                  <c:v> 3½</c:v>
                </c:pt>
                <c:pt idx="6">
                  <c:v> 4</c:v>
                </c:pt>
                <c:pt idx="7">
                  <c:v> 4½</c:v>
                </c:pt>
                <c:pt idx="8">
                  <c:v> 5</c:v>
                </c:pt>
                <c:pt idx="9">
                  <c:v> 5½</c:v>
                </c:pt>
                <c:pt idx="10">
                  <c:v> 6</c:v>
                </c:pt>
                <c:pt idx="11">
                  <c:v> 6½</c:v>
                </c:pt>
                <c:pt idx="12">
                  <c:v> 7</c:v>
                </c:pt>
                <c:pt idx="13">
                  <c:v> 7½</c:v>
                </c:pt>
                <c:pt idx="14">
                  <c:v> 8</c:v>
                </c:pt>
                <c:pt idx="15">
                  <c:v> 8½</c:v>
                </c:pt>
                <c:pt idx="16">
                  <c:v> 9</c:v>
                </c:pt>
                <c:pt idx="17">
                  <c:v> 9½</c:v>
                </c:pt>
                <c:pt idx="18">
                  <c:v> 10</c:v>
                </c:pt>
                <c:pt idx="19">
                  <c:v>10½</c:v>
                </c:pt>
                <c:pt idx="20">
                  <c:v> 11</c:v>
                </c:pt>
                <c:pt idx="21">
                  <c:v>11½</c:v>
                </c:pt>
                <c:pt idx="22">
                  <c:v> 12</c:v>
                </c:pt>
                <c:pt idx="23">
                  <c:v>12½</c:v>
                </c:pt>
                <c:pt idx="24">
                  <c:v> 13</c:v>
                </c:pt>
                <c:pt idx="25">
                  <c:v>13½</c:v>
                </c:pt>
                <c:pt idx="26">
                  <c:v> 14</c:v>
                </c:pt>
                <c:pt idx="27">
                  <c:v>14½</c:v>
                </c:pt>
                <c:pt idx="28">
                  <c:v> 15</c:v>
                </c:pt>
                <c:pt idx="29">
                  <c:v>15½</c:v>
                </c:pt>
                <c:pt idx="30">
                  <c:v> 16</c:v>
                </c:pt>
                <c:pt idx="31">
                  <c:v>16½</c:v>
                </c:pt>
                <c:pt idx="32">
                  <c:v> 17</c:v>
                </c:pt>
                <c:pt idx="33">
                  <c:v>17½</c:v>
                </c:pt>
                <c:pt idx="34">
                  <c:v> 18</c:v>
                </c:pt>
                <c:pt idx="35">
                  <c:v>18½</c:v>
                </c:pt>
                <c:pt idx="36">
                  <c:v> 19</c:v>
                </c:pt>
                <c:pt idx="37">
                  <c:v>19½</c:v>
                </c:pt>
                <c:pt idx="38">
                  <c:v> 20</c:v>
                </c:pt>
                <c:pt idx="39">
                  <c:v>20½</c:v>
                </c:pt>
                <c:pt idx="40">
                  <c:v> 21</c:v>
                </c:pt>
                <c:pt idx="41">
                  <c:v>21½</c:v>
                </c:pt>
                <c:pt idx="42">
                  <c:v> 22</c:v>
                </c:pt>
                <c:pt idx="43">
                  <c:v>22½</c:v>
                </c:pt>
                <c:pt idx="44">
                  <c:v> 23</c:v>
                </c:pt>
                <c:pt idx="45">
                  <c:v>23½</c:v>
                </c:pt>
                <c:pt idx="46">
                  <c:v> 24</c:v>
                </c:pt>
                <c:pt idx="47">
                  <c:v>24½</c:v>
                </c:pt>
                <c:pt idx="48">
                  <c:v> 25</c:v>
                </c:pt>
                <c:pt idx="49">
                  <c:v>25½</c:v>
                </c:pt>
                <c:pt idx="50">
                  <c:v> 26</c:v>
                </c:pt>
                <c:pt idx="51">
                  <c:v>26½</c:v>
                </c:pt>
                <c:pt idx="52">
                  <c:v> 27</c:v>
                </c:pt>
                <c:pt idx="53">
                  <c:v>27½</c:v>
                </c:pt>
                <c:pt idx="54">
                  <c:v> 28</c:v>
                </c:pt>
                <c:pt idx="55">
                  <c:v>28½</c:v>
                </c:pt>
                <c:pt idx="56">
                  <c:v> 29</c:v>
                </c:pt>
                <c:pt idx="57">
                  <c:v>29½</c:v>
                </c:pt>
                <c:pt idx="58">
                  <c:v> 30</c:v>
                </c:pt>
                <c:pt idx="59">
                  <c:v>30½</c:v>
                </c:pt>
                <c:pt idx="60">
                  <c:v> 31</c:v>
                </c:pt>
                <c:pt idx="61">
                  <c:v>31½</c:v>
                </c:pt>
                <c:pt idx="62">
                  <c:v> 32</c:v>
                </c:pt>
                <c:pt idx="63">
                  <c:v>32½</c:v>
                </c:pt>
                <c:pt idx="64">
                  <c:v> 33</c:v>
                </c:pt>
                <c:pt idx="65">
                  <c:v>33½</c:v>
                </c:pt>
                <c:pt idx="66">
                  <c:v> 34</c:v>
                </c:pt>
                <c:pt idx="67">
                  <c:v>34½</c:v>
                </c:pt>
                <c:pt idx="68">
                  <c:v> 35</c:v>
                </c:pt>
                <c:pt idx="69">
                  <c:v>35½</c:v>
                </c:pt>
                <c:pt idx="70">
                  <c:v> 36</c:v>
                </c:pt>
                <c:pt idx="71">
                  <c:v>36½</c:v>
                </c:pt>
                <c:pt idx="72">
                  <c:v> 37</c:v>
                </c:pt>
                <c:pt idx="73">
                  <c:v>37½</c:v>
                </c:pt>
                <c:pt idx="74">
                  <c:v> 38</c:v>
                </c:pt>
                <c:pt idx="75">
                  <c:v>38½</c:v>
                </c:pt>
                <c:pt idx="76">
                  <c:v> 39</c:v>
                </c:pt>
                <c:pt idx="77">
                  <c:v>39½</c:v>
                </c:pt>
                <c:pt idx="78">
                  <c:v> 40</c:v>
                </c:pt>
                <c:pt idx="79">
                  <c:v>40½</c:v>
                </c:pt>
                <c:pt idx="80">
                  <c:v> 41</c:v>
                </c:pt>
                <c:pt idx="81">
                  <c:v>41½</c:v>
                </c:pt>
                <c:pt idx="82">
                  <c:v> 42</c:v>
                </c:pt>
                <c:pt idx="83">
                  <c:v>42½</c:v>
                </c:pt>
                <c:pt idx="84">
                  <c:v> 43</c:v>
                </c:pt>
                <c:pt idx="85">
                  <c:v>43½</c:v>
                </c:pt>
                <c:pt idx="86">
                  <c:v> 44</c:v>
                </c:pt>
                <c:pt idx="87">
                  <c:v>44½</c:v>
                </c:pt>
                <c:pt idx="88">
                  <c:v> 45</c:v>
                </c:pt>
                <c:pt idx="89">
                  <c:v>45½</c:v>
                </c:pt>
                <c:pt idx="90">
                  <c:v> 46</c:v>
                </c:pt>
                <c:pt idx="91">
                  <c:v>46½</c:v>
                </c:pt>
                <c:pt idx="92">
                  <c:v> 47</c:v>
                </c:pt>
                <c:pt idx="93">
                  <c:v>47½</c:v>
                </c:pt>
                <c:pt idx="94">
                  <c:v> 48</c:v>
                </c:pt>
                <c:pt idx="95">
                  <c:v>48½</c:v>
                </c:pt>
                <c:pt idx="96">
                  <c:v> 49</c:v>
                </c:pt>
                <c:pt idx="97">
                  <c:v>49½</c:v>
                </c:pt>
                <c:pt idx="98">
                  <c:v> 50</c:v>
                </c:pt>
                <c:pt idx="99">
                  <c:v>51+</c:v>
                </c:pt>
              </c:strCache>
            </c:strRef>
          </c:cat>
          <c:val>
            <c:numRef>
              <c:f>'PWLB maturity '!$E$3:$E$102</c:f>
              <c:numCache>
                <c:formatCode>General</c:formatCode>
                <c:ptCount val="100"/>
                <c:pt idx="0">
                  <c:v>1.38</c:v>
                </c:pt>
                <c:pt idx="1">
                  <c:v>1.6</c:v>
                </c:pt>
                <c:pt idx="2">
                  <c:v>1.72</c:v>
                </c:pt>
                <c:pt idx="3">
                  <c:v>1.83</c:v>
                </c:pt>
                <c:pt idx="4">
                  <c:v>1.94</c:v>
                </c:pt>
                <c:pt idx="5">
                  <c:v>2.04</c:v>
                </c:pt>
                <c:pt idx="6">
                  <c:v>2.14</c:v>
                </c:pt>
                <c:pt idx="7">
                  <c:v>2.23</c:v>
                </c:pt>
                <c:pt idx="8">
                  <c:v>2.31</c:v>
                </c:pt>
                <c:pt idx="9">
                  <c:v>2.39</c:v>
                </c:pt>
                <c:pt idx="10">
                  <c:v>2.46</c:v>
                </c:pt>
                <c:pt idx="11">
                  <c:v>2.5299999999999998</c:v>
                </c:pt>
                <c:pt idx="12">
                  <c:v>2.59</c:v>
                </c:pt>
                <c:pt idx="13">
                  <c:v>2.64</c:v>
                </c:pt>
                <c:pt idx="14">
                  <c:v>2.69</c:v>
                </c:pt>
                <c:pt idx="15">
                  <c:v>2.74</c:v>
                </c:pt>
                <c:pt idx="16">
                  <c:v>2.79</c:v>
                </c:pt>
                <c:pt idx="17">
                  <c:v>2.83</c:v>
                </c:pt>
                <c:pt idx="18">
                  <c:v>2.87</c:v>
                </c:pt>
                <c:pt idx="19">
                  <c:v>2.91</c:v>
                </c:pt>
                <c:pt idx="20">
                  <c:v>2.95</c:v>
                </c:pt>
                <c:pt idx="21">
                  <c:v>2.99</c:v>
                </c:pt>
                <c:pt idx="22">
                  <c:v>3.02</c:v>
                </c:pt>
                <c:pt idx="23">
                  <c:v>3.06</c:v>
                </c:pt>
                <c:pt idx="24">
                  <c:v>3.09</c:v>
                </c:pt>
                <c:pt idx="25">
                  <c:v>3.12</c:v>
                </c:pt>
                <c:pt idx="26">
                  <c:v>3.15</c:v>
                </c:pt>
                <c:pt idx="27">
                  <c:v>3.18</c:v>
                </c:pt>
                <c:pt idx="28">
                  <c:v>3.21</c:v>
                </c:pt>
                <c:pt idx="29">
                  <c:v>3.24</c:v>
                </c:pt>
                <c:pt idx="30">
                  <c:v>3.26</c:v>
                </c:pt>
                <c:pt idx="31">
                  <c:v>3.29</c:v>
                </c:pt>
                <c:pt idx="32">
                  <c:v>3.31</c:v>
                </c:pt>
                <c:pt idx="33">
                  <c:v>3.33</c:v>
                </c:pt>
                <c:pt idx="34">
                  <c:v>3.35</c:v>
                </c:pt>
                <c:pt idx="35">
                  <c:v>3.37</c:v>
                </c:pt>
                <c:pt idx="36">
                  <c:v>3.39</c:v>
                </c:pt>
                <c:pt idx="37">
                  <c:v>3.41</c:v>
                </c:pt>
                <c:pt idx="38">
                  <c:v>3.43</c:v>
                </c:pt>
                <c:pt idx="39">
                  <c:v>3.44</c:v>
                </c:pt>
                <c:pt idx="40">
                  <c:v>3.45</c:v>
                </c:pt>
                <c:pt idx="41">
                  <c:v>3.47</c:v>
                </c:pt>
                <c:pt idx="42">
                  <c:v>3.48</c:v>
                </c:pt>
                <c:pt idx="43">
                  <c:v>3.49</c:v>
                </c:pt>
                <c:pt idx="44">
                  <c:v>3.5</c:v>
                </c:pt>
                <c:pt idx="45">
                  <c:v>3.51</c:v>
                </c:pt>
                <c:pt idx="46">
                  <c:v>3.52</c:v>
                </c:pt>
                <c:pt idx="47">
                  <c:v>3.52</c:v>
                </c:pt>
                <c:pt idx="48">
                  <c:v>3.53</c:v>
                </c:pt>
                <c:pt idx="49">
                  <c:v>3.53</c:v>
                </c:pt>
                <c:pt idx="50">
                  <c:v>3.54</c:v>
                </c:pt>
                <c:pt idx="51">
                  <c:v>3.54</c:v>
                </c:pt>
                <c:pt idx="52">
                  <c:v>3.55</c:v>
                </c:pt>
                <c:pt idx="53">
                  <c:v>3.55</c:v>
                </c:pt>
                <c:pt idx="54">
                  <c:v>3.55</c:v>
                </c:pt>
                <c:pt idx="55">
                  <c:v>3.55</c:v>
                </c:pt>
                <c:pt idx="56">
                  <c:v>3.55</c:v>
                </c:pt>
                <c:pt idx="57">
                  <c:v>3.55</c:v>
                </c:pt>
                <c:pt idx="58">
                  <c:v>3.55</c:v>
                </c:pt>
                <c:pt idx="59">
                  <c:v>3.55</c:v>
                </c:pt>
                <c:pt idx="60">
                  <c:v>3.55</c:v>
                </c:pt>
                <c:pt idx="61">
                  <c:v>3.55</c:v>
                </c:pt>
                <c:pt idx="62">
                  <c:v>3.55</c:v>
                </c:pt>
                <c:pt idx="63">
                  <c:v>3.55</c:v>
                </c:pt>
                <c:pt idx="64">
                  <c:v>3.55</c:v>
                </c:pt>
                <c:pt idx="65">
                  <c:v>3.55</c:v>
                </c:pt>
                <c:pt idx="66">
                  <c:v>3.55</c:v>
                </c:pt>
                <c:pt idx="67">
                  <c:v>3.54</c:v>
                </c:pt>
                <c:pt idx="68">
                  <c:v>3.54</c:v>
                </c:pt>
                <c:pt idx="69">
                  <c:v>3.54</c:v>
                </c:pt>
                <c:pt idx="70">
                  <c:v>3.54</c:v>
                </c:pt>
                <c:pt idx="71">
                  <c:v>3.54</c:v>
                </c:pt>
                <c:pt idx="72">
                  <c:v>3.53</c:v>
                </c:pt>
                <c:pt idx="73">
                  <c:v>3.53</c:v>
                </c:pt>
                <c:pt idx="74">
                  <c:v>3.53</c:v>
                </c:pt>
                <c:pt idx="75">
                  <c:v>3.53</c:v>
                </c:pt>
                <c:pt idx="76">
                  <c:v>3.53</c:v>
                </c:pt>
                <c:pt idx="77">
                  <c:v>3.52</c:v>
                </c:pt>
                <c:pt idx="78">
                  <c:v>3.52</c:v>
                </c:pt>
                <c:pt idx="79">
                  <c:v>3.52</c:v>
                </c:pt>
                <c:pt idx="80">
                  <c:v>3.52</c:v>
                </c:pt>
                <c:pt idx="81">
                  <c:v>3.52</c:v>
                </c:pt>
                <c:pt idx="82">
                  <c:v>3.52</c:v>
                </c:pt>
                <c:pt idx="83">
                  <c:v>3.51</c:v>
                </c:pt>
                <c:pt idx="84">
                  <c:v>3.51</c:v>
                </c:pt>
                <c:pt idx="85">
                  <c:v>3.51</c:v>
                </c:pt>
                <c:pt idx="86">
                  <c:v>3.51</c:v>
                </c:pt>
                <c:pt idx="87">
                  <c:v>3.51</c:v>
                </c:pt>
                <c:pt idx="88">
                  <c:v>3.51</c:v>
                </c:pt>
                <c:pt idx="89">
                  <c:v>3.51</c:v>
                </c:pt>
                <c:pt idx="90">
                  <c:v>3.51</c:v>
                </c:pt>
                <c:pt idx="91">
                  <c:v>3.51</c:v>
                </c:pt>
                <c:pt idx="92">
                  <c:v>3.51</c:v>
                </c:pt>
                <c:pt idx="93">
                  <c:v>3.51</c:v>
                </c:pt>
                <c:pt idx="94">
                  <c:v>3.51</c:v>
                </c:pt>
                <c:pt idx="95">
                  <c:v>3.51</c:v>
                </c:pt>
                <c:pt idx="96">
                  <c:v>3.51</c:v>
                </c:pt>
                <c:pt idx="97">
                  <c:v>3.51</c:v>
                </c:pt>
                <c:pt idx="98">
                  <c:v>3.51</c:v>
                </c:pt>
                <c:pt idx="99">
                  <c:v>3.51</c:v>
                </c:pt>
              </c:numCache>
            </c:numRef>
          </c:val>
          <c:smooth val="0"/>
        </c:ser>
        <c:dLbls>
          <c:showLegendKey val="0"/>
          <c:showVal val="0"/>
          <c:showCatName val="0"/>
          <c:showSerName val="0"/>
          <c:showPercent val="0"/>
          <c:showBubbleSize val="0"/>
        </c:dLbls>
        <c:smooth val="0"/>
        <c:axId val="132570864"/>
        <c:axId val="132571256"/>
      </c:lineChart>
      <c:catAx>
        <c:axId val="13257086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Period in Years</a:t>
                </a:r>
              </a:p>
            </c:rich>
          </c:tx>
          <c:layout>
            <c:manualLayout>
              <c:xMode val="edge"/>
              <c:yMode val="edge"/>
              <c:x val="0.41450694319952563"/>
              <c:y val="0.9161856750908968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32571256"/>
        <c:crosses val="autoZero"/>
        <c:auto val="1"/>
        <c:lblAlgn val="ctr"/>
        <c:lblOffset val="10"/>
        <c:tickLblSkip val="10"/>
        <c:tickMarkSkip val="1"/>
        <c:noMultiLvlLbl val="0"/>
      </c:catAx>
      <c:valAx>
        <c:axId val="132571256"/>
        <c:scaling>
          <c:orientation val="minMax"/>
          <c:max val="5.7"/>
          <c:min val="1"/>
        </c:scaling>
        <c:delete val="0"/>
        <c:axPos val="l"/>
        <c:majorGridlines>
          <c:spPr>
            <a:ln w="3175">
              <a:solidFill>
                <a:srgbClr val="000000"/>
              </a:solidFill>
              <a:prstDash val="solid"/>
            </a:ln>
          </c:spPr>
        </c:majorGridlines>
        <c:title>
          <c:tx>
            <c:rich>
              <a:bodyPr rot="0" vert="horz"/>
              <a:lstStyle/>
              <a:p>
                <a:pPr algn="ctr">
                  <a:defRPr sz="1000" b="1" i="0" u="none" strike="noStrike" baseline="0">
                    <a:solidFill>
                      <a:srgbClr val="000000"/>
                    </a:solidFill>
                    <a:latin typeface="Arial"/>
                    <a:ea typeface="Arial"/>
                    <a:cs typeface="Arial"/>
                  </a:defRPr>
                </a:pPr>
                <a:r>
                  <a:rPr lang="en-GB"/>
                  <a:t>%</a:t>
                </a:r>
              </a:p>
            </c:rich>
          </c:tx>
          <c:layout>
            <c:manualLayout>
              <c:xMode val="edge"/>
              <c:yMode val="edge"/>
              <c:x val="5.4312414100601697E-2"/>
              <c:y val="1.4164305949008499E-2"/>
            </c:manualLayout>
          </c:layout>
          <c:overlay val="0"/>
          <c:spPr>
            <a:noFill/>
            <a:ln w="25400">
              <a:noFill/>
            </a:ln>
          </c:spPr>
        </c:title>
        <c:numFmt formatCode="#,##0.00;\-#,##0.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32570864"/>
        <c:crosses val="autoZero"/>
        <c:crossBetween val="midCat"/>
        <c:majorUnit val="0.5"/>
        <c:minorUnit val="0.1"/>
      </c:valAx>
      <c:spPr>
        <a:solidFill>
          <a:srgbClr val="FFFFFF"/>
        </a:solidFill>
        <a:ln w="25400">
          <a:solidFill>
            <a:srgbClr val="000000"/>
          </a:solidFill>
          <a:prstDash val="solid"/>
        </a:ln>
      </c:spPr>
    </c:plotArea>
    <c:legend>
      <c:legendPos val="r"/>
      <c:legendEntry>
        <c:idx val="0"/>
        <c:txPr>
          <a:bodyPr/>
          <a:lstStyle/>
          <a:p>
            <a:pPr>
              <a:defRPr sz="800" b="0" i="0" u="none" strike="noStrike" baseline="0">
                <a:solidFill>
                  <a:srgbClr val="000000"/>
                </a:solidFill>
                <a:latin typeface="Arial"/>
                <a:ea typeface="Arial"/>
                <a:cs typeface="Arial"/>
              </a:defRPr>
            </a:pPr>
            <a:endParaRPr lang="en-US"/>
          </a:p>
        </c:txPr>
      </c:legendEntry>
      <c:legendEntry>
        <c:idx val="1"/>
        <c:txPr>
          <a:bodyPr/>
          <a:lstStyle/>
          <a:p>
            <a:pPr>
              <a:defRPr sz="800" b="0" i="0" u="none" strike="noStrike" baseline="0">
                <a:solidFill>
                  <a:srgbClr val="000000"/>
                </a:solidFill>
                <a:latin typeface="Arial"/>
                <a:ea typeface="Arial"/>
                <a:cs typeface="Arial"/>
              </a:defRPr>
            </a:pPr>
            <a:endParaRPr lang="en-US"/>
          </a:p>
        </c:txPr>
      </c:legendEntry>
      <c:layout>
        <c:manualLayout>
          <c:xMode val="edge"/>
          <c:yMode val="edge"/>
          <c:x val="0.702444576214313"/>
          <c:y val="0.56195430245440281"/>
          <c:w val="0.14638461785972023"/>
          <c:h val="0.16923408653238459"/>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586A-A80C-4A09-A7C6-E954B125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2888</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Appendix A</vt:lpstr>
    </vt:vector>
  </TitlesOfParts>
  <Company>Lancashire County Council</Company>
  <LinksUpToDate>false</LinksUpToDate>
  <CharactersWithSpaces>18482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Lancashire Council</dc:creator>
  <cp:keywords>Council meetings;Government, politics and public administration; Local government; Decision making; Council meetings;</cp:keywords>
  <cp:lastModifiedBy>Harbison, Garth</cp:lastModifiedBy>
  <cp:revision>3</cp:revision>
  <cp:lastPrinted>2014-01-03T16:06:00Z</cp:lastPrinted>
  <dcterms:created xsi:type="dcterms:W3CDTF">2015-01-13T16:05:00Z</dcterms:created>
  <dcterms:modified xsi:type="dcterms:W3CDTF">2015-01-13T16:22:00Z</dcterms:modified>
</cp:coreProperties>
</file>